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pBdr>
          <w:bottom w:val="single" w:sz="12" w:space="1" w:color="auto"/>
        </w:pBdr>
        <w:jc w:val="right"/>
        <w:rPr>
          <w:rFonts w:cs="Arial"/>
          <w:b/>
          <w:szCs w:val="20"/>
          <w:lang w:val="es-ES_tradnl"/>
        </w:rPr>
      </w:pPr>
      <w:r w:rsidRPr="00E65B72">
        <w:rPr>
          <w:rFonts w:cs="Arial"/>
          <w:b/>
          <w:szCs w:val="20"/>
          <w:lang w:val="es-ES_tradnl"/>
        </w:rPr>
        <w:t xml:space="preserve">DOCUMENTO </w:t>
      </w:r>
      <w:r w:rsidR="00FB0815">
        <w:rPr>
          <w:rFonts w:cs="Arial"/>
          <w:b/>
          <w:szCs w:val="20"/>
          <w:lang w:val="es-ES_tradnl"/>
        </w:rPr>
        <w:t>MIGRACIÓN CONTENIDOS</w:t>
      </w:r>
    </w:p>
    <w:p w:rsidR="002869AD" w:rsidRDefault="004B06F7" w:rsidP="00974120">
      <w:pPr>
        <w:jc w:val="right"/>
        <w:rPr>
          <w:rFonts w:cs="Arial"/>
          <w:szCs w:val="20"/>
          <w:lang w:val="es-ES_tradnl"/>
        </w:rPr>
      </w:pPr>
      <w:r w:rsidRPr="004B06F7">
        <w:rPr>
          <w:rFonts w:cs="Arial"/>
          <w:szCs w:val="20"/>
          <w:lang w:val="es-ES_tradnl"/>
        </w:rPr>
        <w:t>Migración intranet extranet</w:t>
      </w:r>
      <w:r w:rsidR="00D95BDF">
        <w:rPr>
          <w:rFonts w:cs="Arial"/>
          <w:szCs w:val="20"/>
          <w:lang w:val="es-ES_tradnl"/>
        </w:rPr>
        <w:t xml:space="preserve"> SharePoint </w:t>
      </w:r>
    </w:p>
    <w:p w:rsidR="009D04FA" w:rsidRPr="004B06F7" w:rsidRDefault="009D04FA" w:rsidP="00974120">
      <w:pPr>
        <w:jc w:val="right"/>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9D04FA" w:rsidRDefault="004F1D2D" w:rsidP="00974120">
      <w:pPr>
        <w:rPr>
          <w:rFonts w:cs="Arial"/>
          <w:b/>
          <w:szCs w:val="20"/>
          <w:lang w:val="es-ES_tradnl"/>
        </w:rPr>
      </w:pPr>
      <w:proofErr w:type="spellStart"/>
      <w:r>
        <w:rPr>
          <w:rFonts w:cs="Arial"/>
          <w:b/>
          <w:szCs w:val="20"/>
          <w:lang w:val="es-ES_tradnl"/>
        </w:rPr>
        <w:t>Itiany</w:t>
      </w:r>
      <w:proofErr w:type="spellEnd"/>
      <w:r>
        <w:rPr>
          <w:rFonts w:cs="Arial"/>
          <w:b/>
          <w:szCs w:val="20"/>
          <w:lang w:val="es-ES_tradnl"/>
        </w:rPr>
        <w:t xml:space="preserve"> Zarate</w:t>
      </w:r>
    </w:p>
    <w:p w:rsidR="009D04FA" w:rsidRPr="009D04FA" w:rsidRDefault="009D04FA" w:rsidP="00974120">
      <w:pPr>
        <w:rPr>
          <w:rFonts w:cs="Arial"/>
          <w:b/>
          <w:szCs w:val="20"/>
          <w:lang w:val="es-ES_tradnl"/>
        </w:rPr>
      </w:pPr>
      <w:r w:rsidRPr="009D04FA">
        <w:rPr>
          <w:rFonts w:cs="Arial"/>
          <w:b/>
          <w:szCs w:val="20"/>
          <w:lang w:val="es-ES_tradnl"/>
        </w:rPr>
        <w:t xml:space="preserve">Origen Business </w:t>
      </w:r>
      <w:proofErr w:type="spellStart"/>
      <w:r w:rsidRPr="009D04FA">
        <w:rPr>
          <w:rFonts w:cs="Arial"/>
          <w:b/>
          <w:szCs w:val="20"/>
          <w:lang w:val="es-ES_tradnl"/>
        </w:rPr>
        <w:t>Technology</w:t>
      </w:r>
      <w:proofErr w:type="spellEnd"/>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5C7C71">
      <w:pPr>
        <w:jc w:val="right"/>
        <w:rPr>
          <w:rFonts w:cs="Arial"/>
          <w:szCs w:val="20"/>
          <w:lang w:val="es-ES_tradnl"/>
        </w:rPr>
      </w:pPr>
      <w:r w:rsidRPr="00E65B72">
        <w:rPr>
          <w:rFonts w:cs="Arial"/>
          <w:szCs w:val="20"/>
          <w:lang w:val="es-ES_tradnl"/>
        </w:rPr>
        <w:t xml:space="preserve">Versión: </w:t>
      </w:r>
      <w:r w:rsidR="004B06F7" w:rsidRPr="004B06F7">
        <w:rPr>
          <w:rFonts w:cs="Arial"/>
          <w:szCs w:val="20"/>
          <w:lang w:val="es-ES_tradnl"/>
        </w:rPr>
        <w:t>1.0</w:t>
      </w:r>
    </w:p>
    <w:p w:rsidR="00054EFC" w:rsidRDefault="002869AD" w:rsidP="00974120">
      <w:pPr>
        <w:rPr>
          <w:rFonts w:cs="Arial"/>
          <w:b/>
          <w:szCs w:val="20"/>
          <w:lang w:val="es-ES_tradnl"/>
        </w:rPr>
      </w:pPr>
      <w:r w:rsidRPr="00E65B72">
        <w:rPr>
          <w:rFonts w:cs="Arial"/>
          <w:szCs w:val="20"/>
          <w:lang w:val="es-ES_tradnl"/>
        </w:rPr>
        <w:br w:type="page"/>
      </w:r>
    </w:p>
    <w:p w:rsidR="00054EFC" w:rsidRDefault="00054EFC">
      <w:pPr>
        <w:pStyle w:val="TtulodeTDC"/>
      </w:pPr>
      <w:r>
        <w:lastRenderedPageBreak/>
        <w:t>Contenido</w:t>
      </w:r>
    </w:p>
    <w:p w:rsidR="00054EFC" w:rsidRPr="00054EFC" w:rsidRDefault="00054EFC" w:rsidP="00054EFC">
      <w:pPr>
        <w:rPr>
          <w:lang w:eastAsia="en-US"/>
        </w:rPr>
      </w:pPr>
    </w:p>
    <w:bookmarkStart w:id="0" w:name="_GoBack"/>
    <w:bookmarkEnd w:id="0"/>
    <w:p w:rsidR="0099506F" w:rsidRDefault="00054EFC">
      <w:pPr>
        <w:pStyle w:val="TDC1"/>
        <w:tabs>
          <w:tab w:val="right" w:leader="dot" w:pos="8494"/>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437258357" w:history="1">
        <w:r w:rsidR="0099506F" w:rsidRPr="00AA1203">
          <w:rPr>
            <w:rStyle w:val="Hipervnculo"/>
            <w:noProof/>
          </w:rPr>
          <w:t>Migración de SharePoint 2007 a 2013</w:t>
        </w:r>
        <w:r w:rsidR="0099506F">
          <w:rPr>
            <w:noProof/>
            <w:webHidden/>
          </w:rPr>
          <w:tab/>
        </w:r>
        <w:r w:rsidR="0099506F">
          <w:rPr>
            <w:noProof/>
            <w:webHidden/>
          </w:rPr>
          <w:fldChar w:fldCharType="begin"/>
        </w:r>
        <w:r w:rsidR="0099506F">
          <w:rPr>
            <w:noProof/>
            <w:webHidden/>
          </w:rPr>
          <w:instrText xml:space="preserve"> PAGEREF _Toc437258357 \h </w:instrText>
        </w:r>
        <w:r w:rsidR="0099506F">
          <w:rPr>
            <w:noProof/>
            <w:webHidden/>
          </w:rPr>
        </w:r>
        <w:r w:rsidR="0099506F">
          <w:rPr>
            <w:noProof/>
            <w:webHidden/>
          </w:rPr>
          <w:fldChar w:fldCharType="separate"/>
        </w:r>
        <w:r w:rsidR="0099506F">
          <w:rPr>
            <w:noProof/>
            <w:webHidden/>
          </w:rPr>
          <w:t>3</w:t>
        </w:r>
        <w:r w:rsidR="0099506F">
          <w:rPr>
            <w:noProof/>
            <w:webHidden/>
          </w:rPr>
          <w:fldChar w:fldCharType="end"/>
        </w:r>
      </w:hyperlink>
    </w:p>
    <w:p w:rsidR="0099506F" w:rsidRDefault="0099506F">
      <w:pPr>
        <w:pStyle w:val="TDC2"/>
        <w:tabs>
          <w:tab w:val="right" w:leader="dot" w:pos="8494"/>
        </w:tabs>
        <w:rPr>
          <w:rFonts w:asciiTheme="minorHAnsi" w:eastAsiaTheme="minorEastAsia" w:hAnsiTheme="minorHAnsi" w:cstheme="minorBidi"/>
          <w:noProof/>
          <w:lang w:val="es-CO" w:eastAsia="es-CO"/>
        </w:rPr>
      </w:pPr>
      <w:hyperlink w:anchor="_Toc437258358" w:history="1">
        <w:r w:rsidRPr="00AA1203">
          <w:rPr>
            <w:rStyle w:val="Hipervnculo"/>
            <w:noProof/>
          </w:rPr>
          <w:t>Actualización de base de datos adjunta</w:t>
        </w:r>
        <w:r>
          <w:rPr>
            <w:noProof/>
            <w:webHidden/>
          </w:rPr>
          <w:tab/>
        </w:r>
        <w:r>
          <w:rPr>
            <w:noProof/>
            <w:webHidden/>
          </w:rPr>
          <w:fldChar w:fldCharType="begin"/>
        </w:r>
        <w:r>
          <w:rPr>
            <w:noProof/>
            <w:webHidden/>
          </w:rPr>
          <w:instrText xml:space="preserve"> PAGEREF _Toc437258358 \h </w:instrText>
        </w:r>
        <w:r>
          <w:rPr>
            <w:noProof/>
            <w:webHidden/>
          </w:rPr>
        </w:r>
        <w:r>
          <w:rPr>
            <w:noProof/>
            <w:webHidden/>
          </w:rPr>
          <w:fldChar w:fldCharType="separate"/>
        </w:r>
        <w:r>
          <w:rPr>
            <w:noProof/>
            <w:webHidden/>
          </w:rPr>
          <w:t>3</w:t>
        </w:r>
        <w:r>
          <w:rPr>
            <w:noProof/>
            <w:webHidden/>
          </w:rPr>
          <w:fldChar w:fldCharType="end"/>
        </w:r>
      </w:hyperlink>
    </w:p>
    <w:p w:rsidR="0099506F" w:rsidRDefault="0099506F">
      <w:pPr>
        <w:pStyle w:val="TDC2"/>
        <w:tabs>
          <w:tab w:val="right" w:leader="dot" w:pos="8494"/>
        </w:tabs>
        <w:rPr>
          <w:rFonts w:asciiTheme="minorHAnsi" w:eastAsiaTheme="minorEastAsia" w:hAnsiTheme="minorHAnsi" w:cstheme="minorBidi"/>
          <w:noProof/>
          <w:lang w:val="es-CO" w:eastAsia="es-CO"/>
        </w:rPr>
      </w:pPr>
      <w:hyperlink w:anchor="_Toc437258359" w:history="1">
        <w:r w:rsidRPr="00AA1203">
          <w:rPr>
            <w:rStyle w:val="Hipervnculo"/>
            <w:noProof/>
          </w:rPr>
          <w:t>Revisión de los procedimientos recomendados de actualización (SharePoint Server 2010)</w:t>
        </w:r>
        <w:r>
          <w:rPr>
            <w:noProof/>
            <w:webHidden/>
          </w:rPr>
          <w:tab/>
        </w:r>
        <w:r>
          <w:rPr>
            <w:noProof/>
            <w:webHidden/>
          </w:rPr>
          <w:fldChar w:fldCharType="begin"/>
        </w:r>
        <w:r>
          <w:rPr>
            <w:noProof/>
            <w:webHidden/>
          </w:rPr>
          <w:instrText xml:space="preserve"> PAGEREF _Toc437258359 \h </w:instrText>
        </w:r>
        <w:r>
          <w:rPr>
            <w:noProof/>
            <w:webHidden/>
          </w:rPr>
        </w:r>
        <w:r>
          <w:rPr>
            <w:noProof/>
            <w:webHidden/>
          </w:rPr>
          <w:fldChar w:fldCharType="separate"/>
        </w:r>
        <w:r>
          <w:rPr>
            <w:noProof/>
            <w:webHidden/>
          </w:rPr>
          <w:t>3</w:t>
        </w:r>
        <w:r>
          <w:rPr>
            <w:noProof/>
            <w:webHidden/>
          </w:rPr>
          <w:fldChar w:fldCharType="end"/>
        </w:r>
      </w:hyperlink>
    </w:p>
    <w:p w:rsidR="0099506F" w:rsidRDefault="0099506F">
      <w:pPr>
        <w:pStyle w:val="TDC2"/>
        <w:tabs>
          <w:tab w:val="right" w:leader="dot" w:pos="8494"/>
        </w:tabs>
        <w:rPr>
          <w:rFonts w:asciiTheme="minorHAnsi" w:eastAsiaTheme="minorEastAsia" w:hAnsiTheme="minorHAnsi" w:cstheme="minorBidi"/>
          <w:noProof/>
          <w:lang w:val="es-CO" w:eastAsia="es-CO"/>
        </w:rPr>
      </w:pPr>
      <w:hyperlink w:anchor="_Toc437258360" w:history="1">
        <w:r w:rsidRPr="00AA1203">
          <w:rPr>
            <w:rStyle w:val="Hipervnculo"/>
            <w:noProof/>
          </w:rPr>
          <w:t>Secuencia de actualización</w:t>
        </w:r>
        <w:r>
          <w:rPr>
            <w:noProof/>
            <w:webHidden/>
          </w:rPr>
          <w:tab/>
        </w:r>
        <w:r>
          <w:rPr>
            <w:noProof/>
            <w:webHidden/>
          </w:rPr>
          <w:fldChar w:fldCharType="begin"/>
        </w:r>
        <w:r>
          <w:rPr>
            <w:noProof/>
            <w:webHidden/>
          </w:rPr>
          <w:instrText xml:space="preserve"> PAGEREF _Toc437258360 \h </w:instrText>
        </w:r>
        <w:r>
          <w:rPr>
            <w:noProof/>
            <w:webHidden/>
          </w:rPr>
        </w:r>
        <w:r>
          <w:rPr>
            <w:noProof/>
            <w:webHidden/>
          </w:rPr>
          <w:fldChar w:fldCharType="separate"/>
        </w:r>
        <w:r>
          <w:rPr>
            <w:noProof/>
            <w:webHidden/>
          </w:rPr>
          <w:t>4</w:t>
        </w:r>
        <w:r>
          <w:rPr>
            <w:noProof/>
            <w:webHidden/>
          </w:rPr>
          <w:fldChar w:fldCharType="end"/>
        </w:r>
      </w:hyperlink>
    </w:p>
    <w:p w:rsidR="00054EFC" w:rsidRDefault="00054EFC">
      <w:pPr>
        <w:rPr>
          <w:b/>
          <w:bCs/>
        </w:rPr>
      </w:pPr>
      <w:r>
        <w:rPr>
          <w:b/>
          <w:bCs/>
        </w:rPr>
        <w:fldChar w:fldCharType="end"/>
      </w: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5F4CD0" w:rsidRDefault="005F4CD0">
      <w:pPr>
        <w:rPr>
          <w:b/>
          <w:bCs/>
        </w:rPr>
      </w:pPr>
    </w:p>
    <w:p w:rsidR="00054EFC" w:rsidRDefault="00054EFC">
      <w:pPr>
        <w:rPr>
          <w:b/>
          <w:bCs/>
        </w:rPr>
      </w:pPr>
    </w:p>
    <w:p w:rsidR="00054EFC" w:rsidRDefault="00054EFC">
      <w:pPr>
        <w:rPr>
          <w:b/>
          <w:bCs/>
        </w:rPr>
      </w:pPr>
    </w:p>
    <w:p w:rsidR="0099506F" w:rsidRDefault="0099506F">
      <w:pPr>
        <w:rPr>
          <w:b/>
          <w:bCs/>
        </w:rPr>
      </w:pPr>
    </w:p>
    <w:p w:rsidR="0099506F" w:rsidRDefault="0099506F">
      <w:pPr>
        <w:rPr>
          <w:b/>
          <w:bCs/>
        </w:rPr>
      </w:pPr>
    </w:p>
    <w:p w:rsidR="0099506F" w:rsidRDefault="0099506F">
      <w:pPr>
        <w:rPr>
          <w:b/>
          <w:bCs/>
        </w:rPr>
      </w:pPr>
    </w:p>
    <w:p w:rsidR="0099506F" w:rsidRDefault="0099506F">
      <w:pPr>
        <w:rPr>
          <w:b/>
          <w:bCs/>
        </w:rPr>
      </w:pPr>
    </w:p>
    <w:p w:rsidR="0099506F" w:rsidRDefault="0099506F">
      <w:pPr>
        <w:rPr>
          <w:b/>
          <w:bCs/>
        </w:rPr>
      </w:pPr>
    </w:p>
    <w:p w:rsidR="0099506F" w:rsidRDefault="0099506F">
      <w:pPr>
        <w:rPr>
          <w:b/>
          <w:bCs/>
        </w:rPr>
      </w:pPr>
    </w:p>
    <w:p w:rsidR="0099506F" w:rsidRDefault="0099506F">
      <w:pPr>
        <w:rPr>
          <w:b/>
          <w:bCs/>
        </w:rPr>
      </w:pPr>
    </w:p>
    <w:p w:rsidR="0099506F" w:rsidRDefault="0099506F">
      <w:pPr>
        <w:rPr>
          <w:b/>
          <w:bCs/>
        </w:rPr>
      </w:pPr>
    </w:p>
    <w:p w:rsidR="00FB0815" w:rsidRDefault="00FB0815">
      <w:pPr>
        <w:rPr>
          <w:b/>
          <w:bCs/>
        </w:rPr>
      </w:pPr>
    </w:p>
    <w:p w:rsidR="00FB0815" w:rsidRDefault="00FB0815">
      <w:pPr>
        <w:rPr>
          <w:b/>
          <w:bCs/>
        </w:rPr>
      </w:pPr>
    </w:p>
    <w:p w:rsidR="00FB0815" w:rsidRDefault="00FB0815">
      <w:pPr>
        <w:rPr>
          <w:b/>
          <w:bCs/>
        </w:rPr>
      </w:pPr>
    </w:p>
    <w:p w:rsidR="00FB0815" w:rsidRDefault="00FB0815" w:rsidP="00FB0815">
      <w:pPr>
        <w:pStyle w:val="Ttulo1"/>
      </w:pPr>
      <w:bookmarkStart w:id="1" w:name="_Toc437252185"/>
      <w:bookmarkStart w:id="2" w:name="_Toc437258357"/>
      <w:r>
        <w:lastRenderedPageBreak/>
        <w:t>Migración de SharePoint 2007 a 2013</w:t>
      </w:r>
      <w:bookmarkEnd w:id="1"/>
      <w:bookmarkEnd w:id="2"/>
    </w:p>
    <w:p w:rsidR="00FB0815" w:rsidRPr="00122669" w:rsidRDefault="00FB0815" w:rsidP="00FB0815"/>
    <w:p w:rsidR="00FB0815" w:rsidRDefault="00FB0815" w:rsidP="00FB0815">
      <w:pPr>
        <w:jc w:val="both"/>
      </w:pPr>
      <w:r>
        <w:t>No puede actualizar directamente de los productos de servidor de la versión Office 2007 a SharePoint 2013. Los cambios entre versiones son demasiado grandes y los requisitos de hardware difieren tanto entre las versiones que no es posible ni compatible una actualización directa. Sin embargo, puede realizar una serie de actualizaciones de base de datos adjunta para actualizar primero el contenido a Productos de SharePoint 2010 y, a continuación, a SharePoint 2013.</w:t>
      </w:r>
    </w:p>
    <w:p w:rsidR="00FB0815" w:rsidRDefault="00FB0815" w:rsidP="00FB0815">
      <w:pPr>
        <w:rPr>
          <w:rFonts w:cs="Arial"/>
          <w:szCs w:val="20"/>
        </w:rPr>
      </w:pPr>
    </w:p>
    <w:p w:rsidR="00FB0815" w:rsidRDefault="00FB0815" w:rsidP="00FB0815">
      <w:pPr>
        <w:pStyle w:val="Ttulo2"/>
      </w:pPr>
      <w:hyperlink r:id="rId11" w:tooltip="Haga clic para contraer. Haga doble clic para contraer todo." w:history="1">
        <w:bookmarkStart w:id="3" w:name="_Toc437252186"/>
        <w:bookmarkStart w:id="4" w:name="_Toc437258358"/>
        <w:r w:rsidRPr="00127DB5">
          <w:rPr>
            <w:rStyle w:val="lwcollapsibleareatitle"/>
          </w:rPr>
          <w:t xml:space="preserve">Actualización de base de </w:t>
        </w:r>
        <w:r w:rsidRPr="00FB0815">
          <w:rPr>
            <w:rStyle w:val="lwcollapsibleareatitle"/>
          </w:rPr>
          <w:t>datos</w:t>
        </w:r>
        <w:r w:rsidRPr="00127DB5">
          <w:rPr>
            <w:rStyle w:val="lwcollapsibleareatitle"/>
          </w:rPr>
          <w:t xml:space="preserve"> adjunta</w:t>
        </w:r>
        <w:bookmarkEnd w:id="3"/>
        <w:bookmarkEnd w:id="4"/>
      </w:hyperlink>
    </w:p>
    <w:p w:rsidR="00FB0815" w:rsidRPr="00FB0815" w:rsidRDefault="00FB0815" w:rsidP="00FB0815"/>
    <w:p w:rsidR="00FB0815" w:rsidRDefault="00FB0815" w:rsidP="00FB0815">
      <w:pPr>
        <w:jc w:val="both"/>
      </w:pPr>
      <w:r>
        <w:t>La actualización de base de datos adjunta permite mover el contenido a una nueva granja de servidores o a un nuevo hardware. Durante una actualización de base de datos adjunta, se desasocian todas las bases de datos de contenido de la granja de servidores existente y, posteriormente, se adjuntan las bases de datos a la instalación de una granja de servidores nueva. Cuando se adjuntan las bases de datos a la granja de servidores nueva, se ejecuta el proceso de actualización y los datos se actualizan en contexto.</w:t>
      </w:r>
    </w:p>
    <w:p w:rsidR="00FB0815" w:rsidRDefault="00FB0815" w:rsidP="00FB0815">
      <w:pPr>
        <w:rPr>
          <w:rFonts w:cs="Arial"/>
          <w:szCs w:val="20"/>
        </w:rPr>
      </w:pPr>
    </w:p>
    <w:p w:rsidR="00FB0815" w:rsidRDefault="00FB0815" w:rsidP="00FB0815">
      <w:pPr>
        <w:pStyle w:val="Ttulo2"/>
      </w:pPr>
      <w:bookmarkStart w:id="5" w:name="_Toc437252187"/>
      <w:bookmarkStart w:id="6" w:name="_Toc437258359"/>
      <w:r w:rsidRPr="00FB0815">
        <w:t>Revisión</w:t>
      </w:r>
      <w:r>
        <w:t xml:space="preserve"> de los procedimientos recomendados de actualización (SharePoint Server 2010)</w:t>
      </w:r>
      <w:bookmarkEnd w:id="5"/>
      <w:bookmarkEnd w:id="6"/>
    </w:p>
    <w:p w:rsidR="00FB0815" w:rsidRPr="00FB0815" w:rsidRDefault="00FB0815" w:rsidP="00FB0815"/>
    <w:p w:rsidR="00FB0815" w:rsidRDefault="00FB0815" w:rsidP="00FB0815">
      <w:pPr>
        <w:jc w:val="both"/>
      </w:pPr>
      <w:r>
        <w:t>Para garantizar un proceso de actualización de Microsoft Office SharePoint Server 2007 a Microsoft SharePoint Server 2010 sin problemas, siga estos procedimientos recomendados:</w:t>
      </w:r>
    </w:p>
    <w:p w:rsidR="00FB0815" w:rsidRDefault="00FB0815" w:rsidP="00FB0815">
      <w:pPr>
        <w:rPr>
          <w:rFonts w:cs="Arial"/>
          <w:szCs w:val="20"/>
        </w:rPr>
      </w:pPr>
    </w:p>
    <w:p w:rsidR="00FB0815" w:rsidRPr="00420350" w:rsidRDefault="00FB0815" w:rsidP="00FB0815">
      <w:pPr>
        <w:pStyle w:val="Prrafodelista"/>
        <w:numPr>
          <w:ilvl w:val="0"/>
          <w:numId w:val="25"/>
        </w:numPr>
        <w:spacing w:after="160" w:line="259" w:lineRule="auto"/>
        <w:jc w:val="both"/>
        <w:rPr>
          <w:b/>
        </w:rPr>
      </w:pPr>
      <w:r w:rsidRPr="00420350">
        <w:rPr>
          <w:b/>
        </w:rPr>
        <w:t xml:space="preserve">Actualice los servidores al </w:t>
      </w:r>
      <w:proofErr w:type="spellStart"/>
      <w:r w:rsidRPr="00420350">
        <w:rPr>
          <w:b/>
        </w:rPr>
        <w:t>Service</w:t>
      </w:r>
      <w:proofErr w:type="spellEnd"/>
      <w:r w:rsidRPr="00420350">
        <w:rPr>
          <w:b/>
        </w:rPr>
        <w:t xml:space="preserve"> Pack 2 (SP2) de Microsoft Office SharePoint Server 2007 o posterior.</w:t>
      </w:r>
    </w:p>
    <w:p w:rsidR="00FB0815" w:rsidRPr="00420350" w:rsidRDefault="00FB0815" w:rsidP="00FB0815">
      <w:pPr>
        <w:pStyle w:val="Prrafodelista"/>
        <w:numPr>
          <w:ilvl w:val="0"/>
          <w:numId w:val="25"/>
        </w:numPr>
        <w:spacing w:after="160" w:line="259" w:lineRule="auto"/>
        <w:jc w:val="both"/>
        <w:rPr>
          <w:b/>
        </w:rPr>
      </w:pPr>
      <w:r w:rsidRPr="00420350">
        <w:rPr>
          <w:b/>
        </w:rPr>
        <w:t>Asegúrese de que el entorno funciona por completo antes de realizar una actualización.</w:t>
      </w:r>
    </w:p>
    <w:p w:rsidR="00FB0815" w:rsidRDefault="00FB0815" w:rsidP="00FB0815">
      <w:pPr>
        <w:pStyle w:val="Prrafodelista"/>
        <w:jc w:val="both"/>
      </w:pPr>
      <w:r>
        <w:t>Una actualización no resuelve ningún problema que pueda haber en su entorno. Por lo tanto, asegúrese de que el entorno funciona por completo antes de realizar una actualización.</w:t>
      </w:r>
    </w:p>
    <w:p w:rsidR="00FB0815" w:rsidRPr="00420350" w:rsidRDefault="00FB0815" w:rsidP="00FB0815">
      <w:pPr>
        <w:pStyle w:val="Prrafodelista"/>
        <w:numPr>
          <w:ilvl w:val="0"/>
          <w:numId w:val="25"/>
        </w:numPr>
        <w:spacing w:after="160" w:line="259" w:lineRule="auto"/>
        <w:jc w:val="both"/>
        <w:rPr>
          <w:b/>
        </w:rPr>
      </w:pPr>
      <w:r w:rsidRPr="00420350">
        <w:rPr>
          <w:b/>
        </w:rPr>
        <w:t>Ejecute la herramienta de comprobación previa a la actualización para buscar posibles problemas.</w:t>
      </w:r>
    </w:p>
    <w:p w:rsidR="00FB0815" w:rsidRDefault="00FB0815" w:rsidP="00FB0815">
      <w:pPr>
        <w:pStyle w:val="Prrafodelista"/>
        <w:jc w:val="both"/>
      </w:pPr>
      <w:r>
        <w:t>La herramienta de comprobación previa a la actualización informa acerca de personalizaciones que faltan y de problemas con sitios huérfanos, entre otros, para que pueda resolverlos antes de realizar la actualización.</w:t>
      </w:r>
    </w:p>
    <w:p w:rsidR="00FB0815" w:rsidRPr="00420350" w:rsidRDefault="00FB0815" w:rsidP="00FB0815">
      <w:pPr>
        <w:pStyle w:val="Prrafodelista"/>
        <w:numPr>
          <w:ilvl w:val="0"/>
          <w:numId w:val="25"/>
        </w:numPr>
        <w:spacing w:after="160" w:line="259" w:lineRule="auto"/>
        <w:jc w:val="both"/>
        <w:rPr>
          <w:b/>
        </w:rPr>
      </w:pPr>
      <w:r w:rsidRPr="00420350">
        <w:rPr>
          <w:b/>
        </w:rPr>
        <w:t>Realice en primer lugar una actualización de prueba en una granja de servidores de prueba.</w:t>
      </w:r>
    </w:p>
    <w:p w:rsidR="00FB0815" w:rsidRDefault="00FB0815" w:rsidP="00FB0815">
      <w:pPr>
        <w:pStyle w:val="Prrafodelista"/>
        <w:jc w:val="both"/>
      </w:pPr>
      <w:r>
        <w:t>Examine los resultados para establecer las expectativas de la apariencia que tendrán los sitios actualizados activos, para determinar cuánta personalización posterior a la actualización tendrá que realizarse y para calcular cuánto tiempo tardará la actualización. Intente un rastreo de indización de búsqueda completa.</w:t>
      </w:r>
    </w:p>
    <w:p w:rsidR="00FB0815" w:rsidRPr="00420350" w:rsidRDefault="00FB0815" w:rsidP="00FB0815">
      <w:pPr>
        <w:pStyle w:val="Prrafodelista"/>
        <w:numPr>
          <w:ilvl w:val="0"/>
          <w:numId w:val="25"/>
        </w:numPr>
        <w:spacing w:after="160" w:line="259" w:lineRule="auto"/>
        <w:jc w:val="both"/>
        <w:rPr>
          <w:b/>
        </w:rPr>
      </w:pPr>
      <w:r w:rsidRPr="00420350">
        <w:rPr>
          <w:b/>
        </w:rPr>
        <w:t>Planee la capacidad.</w:t>
      </w:r>
    </w:p>
    <w:p w:rsidR="00FB0815" w:rsidRDefault="00FB0815" w:rsidP="00FB0815">
      <w:pPr>
        <w:pStyle w:val="Prrafodelista"/>
        <w:jc w:val="both"/>
      </w:pPr>
      <w:r>
        <w:t>Asegúrese de que dispone de una capacidad de disco, procesador y memoria suficiente que admita los requisitos de la actualización.</w:t>
      </w:r>
    </w:p>
    <w:p w:rsidR="00FB0815" w:rsidRPr="00420350" w:rsidRDefault="00FB0815" w:rsidP="00FB0815">
      <w:pPr>
        <w:pStyle w:val="Prrafodelista"/>
        <w:numPr>
          <w:ilvl w:val="0"/>
          <w:numId w:val="25"/>
        </w:numPr>
        <w:spacing w:after="160" w:line="259" w:lineRule="auto"/>
        <w:jc w:val="both"/>
        <w:rPr>
          <w:b/>
        </w:rPr>
      </w:pPr>
      <w:r w:rsidRPr="00420350">
        <w:rPr>
          <w:b/>
        </w:rPr>
        <w:t>Realice una copia de seguridad del entorno.</w:t>
      </w:r>
    </w:p>
    <w:p w:rsidR="00FB0815" w:rsidRDefault="00FB0815" w:rsidP="00FB0815">
      <w:pPr>
        <w:pStyle w:val="Prrafodelista"/>
        <w:jc w:val="both"/>
      </w:pPr>
      <w:r>
        <w:t>Haga una copia de seguridad completa de su entorno antes de realizar la actualización. De esta forma, podrá recuperar el entorno en caso de que deba deshacer una actualización.</w:t>
      </w:r>
    </w:p>
    <w:p w:rsidR="00FB0815" w:rsidRPr="00420350" w:rsidRDefault="00FB0815" w:rsidP="00FB0815">
      <w:pPr>
        <w:pStyle w:val="Prrafodelista"/>
        <w:numPr>
          <w:ilvl w:val="0"/>
          <w:numId w:val="25"/>
        </w:numPr>
        <w:spacing w:after="160" w:line="259" w:lineRule="auto"/>
        <w:jc w:val="both"/>
        <w:rPr>
          <w:b/>
        </w:rPr>
      </w:pPr>
      <w:r>
        <w:rPr>
          <w:b/>
        </w:rPr>
        <w:t>C</w:t>
      </w:r>
      <w:r w:rsidRPr="00420350">
        <w:rPr>
          <w:b/>
        </w:rPr>
        <w:t>onfigure las bases de datos originales como de solo lectura.</w:t>
      </w:r>
    </w:p>
    <w:p w:rsidR="00FB0815" w:rsidRDefault="00FB0815" w:rsidP="00FB0815">
      <w:pPr>
        <w:pStyle w:val="Prrafodelista"/>
        <w:jc w:val="both"/>
      </w:pPr>
      <w:r>
        <w:t>Si calcula que el período de interrupción de actividad será largo mientras se realiza una actualización de base de datos adjunta, puede configurar las bases de datos en el entorno original para que sean de solo lectura de manera que los usuarios puedan seguir teniendo acceso a sus datos sin modificarlos.</w:t>
      </w:r>
    </w:p>
    <w:p w:rsidR="00FB0815" w:rsidRPr="00420350" w:rsidRDefault="00FB0815" w:rsidP="00FB0815">
      <w:pPr>
        <w:pStyle w:val="Prrafodelista"/>
        <w:numPr>
          <w:ilvl w:val="0"/>
          <w:numId w:val="25"/>
        </w:numPr>
        <w:spacing w:after="160" w:line="259" w:lineRule="auto"/>
        <w:jc w:val="both"/>
        <w:rPr>
          <w:b/>
        </w:rPr>
      </w:pPr>
      <w:r w:rsidRPr="00420350">
        <w:rPr>
          <w:b/>
        </w:rPr>
        <w:lastRenderedPageBreak/>
        <w:t>No agregue ningún servidor a su granja de servidores después de comenzar el proceso de actualización.</w:t>
      </w:r>
    </w:p>
    <w:p w:rsidR="00FB0815" w:rsidRDefault="00FB0815" w:rsidP="00FB0815">
      <w:pPr>
        <w:pStyle w:val="Prrafodelista"/>
        <w:jc w:val="both"/>
      </w:pPr>
      <w:r>
        <w:t>Al ejecutar el Asistente para la configuración de productos de SharePoint se actualiza la base de datos de configuración. La base de datos de configuración contiene la lista de servidores de la granja. Los servidores agregados a la granja después de que se haya ejecutado el asistente para configuración no se incluyen en la base de datos. Por lo tanto, los servidores agregados después de que se ejecute el asistente no aparecen en la topología de la versión actualizada. Si necesita agregar servidores a la granja, hágalo antes de iniciar la actualización o después de haber terminado el proceso de actualización.</w:t>
      </w:r>
    </w:p>
    <w:p w:rsidR="00FB0815" w:rsidRPr="00420350" w:rsidRDefault="00FB0815" w:rsidP="00FB0815">
      <w:pPr>
        <w:pStyle w:val="Prrafodelista"/>
        <w:numPr>
          <w:ilvl w:val="0"/>
          <w:numId w:val="25"/>
        </w:numPr>
        <w:spacing w:after="160" w:line="259" w:lineRule="auto"/>
        <w:jc w:val="both"/>
        <w:rPr>
          <w:b/>
        </w:rPr>
      </w:pPr>
      <w:r w:rsidRPr="00420350">
        <w:rPr>
          <w:b/>
        </w:rPr>
        <w:t>Después de la actualización, revise la página de Estado de actualización y actualice los registros para determinar si hay problemas que se deben resolver. A continuación, revise los sitios actualizados.</w:t>
      </w:r>
    </w:p>
    <w:p w:rsidR="00FB0815" w:rsidRDefault="00FB0815" w:rsidP="00FB0815">
      <w:pPr>
        <w:pStyle w:val="Prrafodelista"/>
        <w:jc w:val="both"/>
      </w:pPr>
      <w:r>
        <w:t>Debe comprobar todos los sitios y probarlos antes de considerar terminada la actualización.</w:t>
      </w:r>
    </w:p>
    <w:p w:rsidR="00FB0815" w:rsidRDefault="00FB0815" w:rsidP="00FB0815">
      <w:pPr>
        <w:rPr>
          <w:rFonts w:cs="Arial"/>
          <w:szCs w:val="20"/>
        </w:rPr>
      </w:pPr>
    </w:p>
    <w:p w:rsidR="00FB0815" w:rsidRDefault="00FB0815" w:rsidP="00FB0815">
      <w:pPr>
        <w:pStyle w:val="Ttulo2"/>
      </w:pPr>
      <w:hyperlink r:id="rId12" w:tooltip="Haga clic para contraer. Haga doble clic para contraer todo." w:history="1">
        <w:bookmarkStart w:id="7" w:name="_Toc437252188"/>
        <w:bookmarkStart w:id="8" w:name="_Toc437258360"/>
        <w:r w:rsidRPr="00B122FE">
          <w:rPr>
            <w:rStyle w:val="lwcollapsibleareatitle"/>
          </w:rPr>
          <w:t xml:space="preserve">Secuencia de </w:t>
        </w:r>
        <w:r w:rsidRPr="00FB0815">
          <w:rPr>
            <w:rStyle w:val="lwcollapsibleareatitle"/>
          </w:rPr>
          <w:t>actualización</w:t>
        </w:r>
        <w:bookmarkEnd w:id="7"/>
        <w:bookmarkEnd w:id="8"/>
      </w:hyperlink>
    </w:p>
    <w:p w:rsidR="00FB0815" w:rsidRPr="00FB0815" w:rsidRDefault="00FB0815" w:rsidP="00FB0815"/>
    <w:p w:rsidR="00FB0815" w:rsidRDefault="00FB0815" w:rsidP="00FB0815">
      <w:pPr>
        <w:jc w:val="both"/>
      </w:pPr>
      <w:r>
        <w:t>Para actualizar el contenido en las dos versiones, siga estos pasos.</w:t>
      </w:r>
    </w:p>
    <w:p w:rsidR="00FB0815" w:rsidRDefault="00FB0815" w:rsidP="00FB0815">
      <w:pPr>
        <w:rPr>
          <w:rFonts w:cs="Arial"/>
          <w:szCs w:val="20"/>
        </w:rPr>
      </w:pPr>
    </w:p>
    <w:p w:rsidR="00FB0815" w:rsidRDefault="00FB0815" w:rsidP="00FB0815">
      <w:pPr>
        <w:pStyle w:val="Prrafodelista"/>
        <w:numPr>
          <w:ilvl w:val="0"/>
          <w:numId w:val="27"/>
        </w:numPr>
        <w:spacing w:after="160" w:line="259" w:lineRule="auto"/>
        <w:jc w:val="both"/>
      </w:pPr>
      <w:r w:rsidRPr="00D214AC">
        <w:rPr>
          <w:b/>
          <w:bCs/>
        </w:rPr>
        <w:t>Preparar la actualización</w:t>
      </w:r>
      <w:r w:rsidRPr="00D214AC">
        <w:t xml:space="preserve"> </w:t>
      </w:r>
    </w:p>
    <w:p w:rsidR="00FB0815" w:rsidRPr="00D214AC" w:rsidRDefault="00FB0815" w:rsidP="00FB0815">
      <w:pPr>
        <w:pStyle w:val="Prrafodelista"/>
        <w:spacing w:after="160" w:line="259" w:lineRule="auto"/>
        <w:jc w:val="both"/>
      </w:pPr>
    </w:p>
    <w:p w:rsidR="00FB0815" w:rsidRPr="00D214AC" w:rsidRDefault="00FB0815" w:rsidP="00FB0815">
      <w:pPr>
        <w:pStyle w:val="Prrafodelista"/>
        <w:numPr>
          <w:ilvl w:val="1"/>
          <w:numId w:val="26"/>
        </w:numPr>
        <w:spacing w:after="160" w:line="259" w:lineRule="auto"/>
        <w:jc w:val="both"/>
      </w:pPr>
      <w:r w:rsidRPr="00D214AC">
        <w:t xml:space="preserve">Prepare la granja de servidores original. Asegúrese de que ha instalado las actualizaciones de software más recientes para Windows SharePoint </w:t>
      </w:r>
      <w:proofErr w:type="spellStart"/>
      <w:r w:rsidRPr="00D214AC">
        <w:t>Services</w:t>
      </w:r>
      <w:proofErr w:type="spellEnd"/>
      <w:r w:rsidRPr="00D214AC">
        <w:t xml:space="preserve"> 3.0 o Office SharePoint Server 2007. Debe tener, como mínimo, </w:t>
      </w:r>
      <w:proofErr w:type="spellStart"/>
      <w:r w:rsidRPr="00D214AC">
        <w:t>Service</w:t>
      </w:r>
      <w:proofErr w:type="spellEnd"/>
      <w:r w:rsidRPr="00D214AC">
        <w:t xml:space="preserve"> Pack 2 antes de ejecutar la comprobación previa a la actualización y realizar un inventario de todas las personalizacione</w:t>
      </w:r>
      <w:r>
        <w:t>s</w:t>
      </w:r>
      <w:r w:rsidRPr="00D214AC">
        <w:t>.</w:t>
      </w:r>
    </w:p>
    <w:p w:rsidR="00FB0815" w:rsidRPr="00D214AC" w:rsidRDefault="00FB0815" w:rsidP="00FB0815">
      <w:pPr>
        <w:pStyle w:val="Prrafodelista"/>
        <w:numPr>
          <w:ilvl w:val="1"/>
          <w:numId w:val="26"/>
        </w:numPr>
        <w:spacing w:after="160" w:line="259" w:lineRule="auto"/>
        <w:jc w:val="both"/>
      </w:pPr>
      <w:r w:rsidRPr="00D214AC">
        <w:t xml:space="preserve">Configure una granja de servidores pequeña y temporal que ejecute SharePoint </w:t>
      </w:r>
      <w:proofErr w:type="spellStart"/>
      <w:r w:rsidRPr="00D214AC">
        <w:t>Foundation</w:t>
      </w:r>
      <w:proofErr w:type="spellEnd"/>
      <w:r w:rsidRPr="00D214AC">
        <w:t xml:space="preserve"> 2010 o SharePoint Server 2010 según si está actualizando de Windows SharePoint </w:t>
      </w:r>
      <w:proofErr w:type="spellStart"/>
      <w:r w:rsidRPr="00D214AC">
        <w:t>Services</w:t>
      </w:r>
      <w:proofErr w:type="spellEnd"/>
      <w:r w:rsidRPr="00D214AC">
        <w:t xml:space="preserve"> 3.0 o Office SharePoint Server 2007. Asegúrese de que en la granja de servidores temporal están instalados los </w:t>
      </w:r>
      <w:proofErr w:type="spellStart"/>
      <w:r w:rsidRPr="00D214AC">
        <w:t>Service</w:t>
      </w:r>
      <w:proofErr w:type="spellEnd"/>
      <w:r w:rsidRPr="00D214AC">
        <w:t xml:space="preserve"> Pack y las actualizaciones más recientes.</w:t>
      </w:r>
    </w:p>
    <w:p w:rsidR="00FB0815" w:rsidRDefault="00FB0815" w:rsidP="00FB0815">
      <w:pPr>
        <w:pStyle w:val="Prrafodelista"/>
        <w:numPr>
          <w:ilvl w:val="1"/>
          <w:numId w:val="26"/>
        </w:numPr>
        <w:spacing w:after="160" w:line="259" w:lineRule="auto"/>
        <w:jc w:val="both"/>
      </w:pPr>
      <w:r w:rsidRPr="00D214AC">
        <w:t xml:space="preserve">Instale su granja de servidores completa de SharePoint </w:t>
      </w:r>
      <w:proofErr w:type="spellStart"/>
      <w:r w:rsidRPr="00D214AC">
        <w:t>Foundation</w:t>
      </w:r>
      <w:proofErr w:type="spellEnd"/>
      <w:r w:rsidRPr="00D214AC">
        <w:t xml:space="preserve"> 2013 o SharePoint Server 2013 y compruebe que está configurada y funciona correctamente.</w:t>
      </w:r>
    </w:p>
    <w:p w:rsidR="00FB0815" w:rsidRDefault="00FB0815" w:rsidP="00FB0815">
      <w:pPr>
        <w:pStyle w:val="Prrafodelista"/>
        <w:spacing w:after="160" w:line="259" w:lineRule="auto"/>
        <w:ind w:left="1440"/>
        <w:jc w:val="both"/>
      </w:pPr>
    </w:p>
    <w:p w:rsidR="00FB0815" w:rsidRPr="00FB0815" w:rsidRDefault="00FB0815" w:rsidP="00FB0815">
      <w:pPr>
        <w:pStyle w:val="Prrafodelista"/>
        <w:numPr>
          <w:ilvl w:val="0"/>
          <w:numId w:val="27"/>
        </w:numPr>
        <w:spacing w:after="160" w:line="259" w:lineRule="auto"/>
        <w:jc w:val="both"/>
        <w:rPr>
          <w:rStyle w:val="Textoennegrita"/>
          <w:b w:val="0"/>
          <w:bCs w:val="0"/>
        </w:rPr>
      </w:pPr>
      <w:r>
        <w:rPr>
          <w:rStyle w:val="Textoennegrita"/>
        </w:rPr>
        <w:t>Primera actualización: actualizar el contenido a Productos de SharePoint 2010</w:t>
      </w:r>
    </w:p>
    <w:p w:rsidR="00FB0815" w:rsidRPr="00704906" w:rsidRDefault="00FB0815" w:rsidP="00FB0815">
      <w:pPr>
        <w:pStyle w:val="Prrafodelista"/>
        <w:spacing w:after="160" w:line="259" w:lineRule="auto"/>
        <w:jc w:val="both"/>
        <w:rPr>
          <w:rStyle w:val="Textoennegrita"/>
          <w:b w:val="0"/>
          <w:bCs w:val="0"/>
        </w:rPr>
      </w:pPr>
    </w:p>
    <w:p w:rsidR="00FB0815" w:rsidRDefault="00FB0815" w:rsidP="00FB0815">
      <w:pPr>
        <w:pStyle w:val="Prrafodelista"/>
        <w:numPr>
          <w:ilvl w:val="2"/>
          <w:numId w:val="28"/>
        </w:numPr>
        <w:spacing w:after="160" w:line="259" w:lineRule="auto"/>
        <w:ind w:left="1418" w:hanging="284"/>
        <w:jc w:val="both"/>
      </w:pPr>
      <w:r w:rsidRPr="00704906">
        <w:t xml:space="preserve">Use SQL Server para realizar una copia de seguridad de las bases de datos de contenido en la granja de Windows SharePoint </w:t>
      </w:r>
      <w:proofErr w:type="spellStart"/>
      <w:r w:rsidRPr="00704906">
        <w:t>Services</w:t>
      </w:r>
      <w:proofErr w:type="spellEnd"/>
      <w:r w:rsidRPr="00704906">
        <w:t xml:space="preserve"> 3.0 o Office SharePoint Server 2007, restaure las copias de seguridad en la granja de SharePoint </w:t>
      </w:r>
      <w:proofErr w:type="spellStart"/>
      <w:r w:rsidRPr="00704906">
        <w:t>Foundation</w:t>
      </w:r>
      <w:proofErr w:type="spellEnd"/>
      <w:r w:rsidRPr="00704906">
        <w:t xml:space="preserve"> 2010 o SharePoint Server 2010 y desconecte la granja de servidores antigua.</w:t>
      </w:r>
    </w:p>
    <w:p w:rsidR="00FB0815" w:rsidRDefault="00FB0815" w:rsidP="00FB0815">
      <w:pPr>
        <w:pStyle w:val="Prrafodelista"/>
        <w:numPr>
          <w:ilvl w:val="2"/>
          <w:numId w:val="28"/>
        </w:numPr>
        <w:spacing w:after="160" w:line="259" w:lineRule="auto"/>
        <w:ind w:left="1418" w:hanging="284"/>
        <w:jc w:val="both"/>
      </w:pPr>
      <w:r>
        <w:t xml:space="preserve">Adjunte las copias de las bases de datos de contenido a la granja de servidores de SharePoint </w:t>
      </w:r>
      <w:proofErr w:type="spellStart"/>
      <w:r>
        <w:t>Foundation</w:t>
      </w:r>
      <w:proofErr w:type="spellEnd"/>
      <w:r>
        <w:t xml:space="preserve"> 2010 o SharePoint Server 2010 y actualícelas (de manera opcional, puede actualizarlas en paralelo).</w:t>
      </w:r>
    </w:p>
    <w:p w:rsidR="00FB0815" w:rsidRDefault="00FB0815" w:rsidP="00FB0815">
      <w:pPr>
        <w:pStyle w:val="Prrafodelista"/>
        <w:numPr>
          <w:ilvl w:val="2"/>
          <w:numId w:val="28"/>
        </w:numPr>
        <w:spacing w:after="160" w:line="259" w:lineRule="auto"/>
        <w:ind w:left="1418" w:hanging="284"/>
        <w:jc w:val="both"/>
      </w:pPr>
      <w:r>
        <w:t xml:space="preserve">Compruebe que el contenido se actualizó y que la granja de servidores de SharePoint </w:t>
      </w:r>
      <w:proofErr w:type="spellStart"/>
      <w:r>
        <w:t>Foundation</w:t>
      </w:r>
      <w:proofErr w:type="spellEnd"/>
      <w:r>
        <w:t xml:space="preserve"> 2010 o SharePoint Server 2010 funciona correctamente.</w:t>
      </w:r>
    </w:p>
    <w:p w:rsidR="00FB0815" w:rsidRDefault="00FB0815" w:rsidP="00FB0815">
      <w:pPr>
        <w:pStyle w:val="Prrafodelista"/>
        <w:spacing w:after="160" w:line="259" w:lineRule="auto"/>
        <w:ind w:left="1418"/>
        <w:jc w:val="both"/>
      </w:pPr>
    </w:p>
    <w:p w:rsidR="00FB0815" w:rsidRPr="00FB0815" w:rsidRDefault="00FB0815" w:rsidP="00FB0815">
      <w:pPr>
        <w:pStyle w:val="Prrafodelista"/>
        <w:numPr>
          <w:ilvl w:val="0"/>
          <w:numId w:val="27"/>
        </w:numPr>
        <w:spacing w:after="160" w:line="259" w:lineRule="auto"/>
        <w:jc w:val="both"/>
        <w:rPr>
          <w:rStyle w:val="Textoennegrita"/>
          <w:b w:val="0"/>
          <w:bCs w:val="0"/>
        </w:rPr>
      </w:pPr>
      <w:r>
        <w:rPr>
          <w:rStyle w:val="Textoennegrita"/>
        </w:rPr>
        <w:t>Segunda actualización: actualizar el contenido a SharePoint 2013</w:t>
      </w:r>
    </w:p>
    <w:p w:rsidR="00FB0815" w:rsidRPr="00A97BA8" w:rsidRDefault="00FB0815" w:rsidP="00FB0815">
      <w:pPr>
        <w:pStyle w:val="Prrafodelista"/>
        <w:spacing w:after="160" w:line="259" w:lineRule="auto"/>
        <w:jc w:val="both"/>
        <w:rPr>
          <w:rStyle w:val="Textoennegrita"/>
          <w:b w:val="0"/>
          <w:bCs w:val="0"/>
        </w:rPr>
      </w:pPr>
    </w:p>
    <w:p w:rsidR="00FB0815" w:rsidRDefault="00FB0815" w:rsidP="00FB0815">
      <w:pPr>
        <w:pStyle w:val="Prrafodelista"/>
        <w:numPr>
          <w:ilvl w:val="1"/>
          <w:numId w:val="29"/>
        </w:numPr>
        <w:spacing w:after="160" w:line="259" w:lineRule="auto"/>
        <w:jc w:val="both"/>
      </w:pPr>
      <w:r w:rsidRPr="00A97BA8">
        <w:t xml:space="preserve">Use SQL Server para realizar una copia de seguridad de las bases de datos de contenido en la granja de servidores de SharePoint </w:t>
      </w:r>
      <w:proofErr w:type="spellStart"/>
      <w:r w:rsidRPr="00A97BA8">
        <w:t>Foundation</w:t>
      </w:r>
      <w:proofErr w:type="spellEnd"/>
      <w:r w:rsidRPr="00A97BA8">
        <w:t xml:space="preserve"> 2010 o </w:t>
      </w:r>
      <w:r w:rsidRPr="00A97BA8">
        <w:lastRenderedPageBreak/>
        <w:t xml:space="preserve">SharePoint Server 2010 y, a continuación, restáurelas en la granja de servidores de SharePoint </w:t>
      </w:r>
      <w:proofErr w:type="spellStart"/>
      <w:r w:rsidRPr="00A97BA8">
        <w:t>Foundation</w:t>
      </w:r>
      <w:proofErr w:type="spellEnd"/>
      <w:r w:rsidRPr="00A97BA8">
        <w:t xml:space="preserve"> 2013 o SharePoint Server 2013.</w:t>
      </w:r>
    </w:p>
    <w:p w:rsidR="00FB0815" w:rsidRDefault="00FB0815" w:rsidP="00FB0815">
      <w:pPr>
        <w:pStyle w:val="Prrafodelista"/>
        <w:numPr>
          <w:ilvl w:val="1"/>
          <w:numId w:val="29"/>
        </w:numPr>
        <w:spacing w:after="160" w:line="259" w:lineRule="auto"/>
        <w:jc w:val="both"/>
      </w:pPr>
      <w:r>
        <w:t xml:space="preserve">Adjunte las copias de las bases de datos de contenido a la granja de servidores de SharePoint </w:t>
      </w:r>
      <w:proofErr w:type="spellStart"/>
      <w:r>
        <w:t>Foundation</w:t>
      </w:r>
      <w:proofErr w:type="spellEnd"/>
      <w:r>
        <w:t xml:space="preserve"> 2013 o SharePoint Server 2013 y actualícelas (de manera opcional, puede actualizarlas en paralelo).</w:t>
      </w:r>
    </w:p>
    <w:p w:rsidR="00FB0815" w:rsidRDefault="00FB0815" w:rsidP="00FB0815">
      <w:pPr>
        <w:pStyle w:val="Prrafodelista"/>
        <w:numPr>
          <w:ilvl w:val="1"/>
          <w:numId w:val="29"/>
        </w:numPr>
        <w:spacing w:after="160" w:line="259" w:lineRule="auto"/>
        <w:jc w:val="both"/>
      </w:pPr>
      <w:r>
        <w:t xml:space="preserve">Compruebe que el contenido se actualizó y que la granja de servidores de SharePoint </w:t>
      </w:r>
      <w:proofErr w:type="spellStart"/>
      <w:r>
        <w:t>Foundation</w:t>
      </w:r>
      <w:proofErr w:type="spellEnd"/>
      <w:r>
        <w:t xml:space="preserve"> 2013 o SharePoint Server 2013 funciona correctamente.</w:t>
      </w:r>
    </w:p>
    <w:p w:rsidR="00FB0815" w:rsidRDefault="00FB0815" w:rsidP="00FB0815">
      <w:pPr>
        <w:pStyle w:val="Prrafodelista"/>
        <w:numPr>
          <w:ilvl w:val="1"/>
          <w:numId w:val="29"/>
        </w:numPr>
        <w:spacing w:after="160" w:line="259" w:lineRule="auto"/>
        <w:jc w:val="both"/>
      </w:pPr>
      <w:r>
        <w:t>Actualice las colecciones de sitios.</w:t>
      </w:r>
    </w:p>
    <w:p w:rsidR="00FB0815" w:rsidRPr="001A3DA8" w:rsidRDefault="00FB0815" w:rsidP="00FB0815">
      <w:pPr>
        <w:pStyle w:val="Prrafodelista"/>
        <w:spacing w:after="160" w:line="259" w:lineRule="auto"/>
        <w:ind w:left="1440"/>
        <w:jc w:val="both"/>
      </w:pPr>
    </w:p>
    <w:p w:rsidR="00FB0815" w:rsidRPr="0093481F" w:rsidRDefault="00FB0815" w:rsidP="00FB0815">
      <w:pPr>
        <w:pStyle w:val="Prrafodelista"/>
        <w:numPr>
          <w:ilvl w:val="0"/>
          <w:numId w:val="27"/>
        </w:numPr>
        <w:spacing w:after="160" w:line="259" w:lineRule="auto"/>
        <w:jc w:val="both"/>
      </w:pPr>
      <w:r>
        <w:rPr>
          <w:rStyle w:val="Textoennegrita"/>
        </w:rPr>
        <w:t>Empiece enviando solicitudes a la granja de servidores de SharePoint 2013</w:t>
      </w:r>
    </w:p>
    <w:p w:rsidR="00FB0815" w:rsidRDefault="00FB0815" w:rsidP="00FB0815">
      <w:pPr>
        <w:jc w:val="both"/>
      </w:pPr>
      <w:r>
        <w:t xml:space="preserve">Los diagramas del proceso serían los siguientes: </w:t>
      </w:r>
    </w:p>
    <w:p w:rsidR="00FB0815" w:rsidRDefault="00FB0815" w:rsidP="00FB0815">
      <w:pPr>
        <w:jc w:val="both"/>
      </w:pPr>
    </w:p>
    <w:p w:rsidR="00FB0815" w:rsidRPr="0093481F" w:rsidRDefault="00FB0815" w:rsidP="00FB0815">
      <w:pPr>
        <w:pStyle w:val="Prrafodelista"/>
        <w:numPr>
          <w:ilvl w:val="0"/>
          <w:numId w:val="30"/>
        </w:numPr>
        <w:spacing w:after="160" w:line="259" w:lineRule="auto"/>
        <w:jc w:val="both"/>
      </w:pPr>
      <w:r>
        <w:t>El proceso para actualizar de SharePoint 2007 a 2010 es el siguiente</w:t>
      </w:r>
    </w:p>
    <w:p w:rsidR="00FB0815" w:rsidRDefault="00FB0815" w:rsidP="00FB0815">
      <w:pPr>
        <w:jc w:val="center"/>
        <w:rPr>
          <w:rFonts w:cs="Arial"/>
          <w:szCs w:val="20"/>
        </w:rPr>
      </w:pPr>
      <w:r w:rsidRPr="0093481F">
        <w:rPr>
          <w:noProof/>
          <w:lang w:val="es-CO" w:eastAsia="es-CO"/>
        </w:rPr>
        <w:drawing>
          <wp:inline distT="0" distB="0" distL="0" distR="0">
            <wp:extent cx="4038600" cy="3105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0" cy="3105150"/>
                    </a:xfrm>
                    <a:prstGeom prst="rect">
                      <a:avLst/>
                    </a:prstGeom>
                    <a:noFill/>
                    <a:ln>
                      <a:noFill/>
                    </a:ln>
                  </pic:spPr>
                </pic:pic>
              </a:graphicData>
            </a:graphic>
          </wp:inline>
        </w:drawing>
      </w:r>
    </w:p>
    <w:p w:rsidR="00FB0815" w:rsidRDefault="00FB0815" w:rsidP="00FB0815">
      <w:pPr>
        <w:rPr>
          <w:rFonts w:cs="Arial"/>
          <w:szCs w:val="20"/>
        </w:rPr>
      </w:pPr>
    </w:p>
    <w:p w:rsidR="00FB0815" w:rsidRDefault="00FB0815" w:rsidP="00FB0815">
      <w:pPr>
        <w:pStyle w:val="Prrafodelista"/>
        <w:numPr>
          <w:ilvl w:val="0"/>
          <w:numId w:val="30"/>
        </w:numPr>
        <w:spacing w:after="160" w:line="259" w:lineRule="auto"/>
      </w:pPr>
      <w:r>
        <w:t>El proceso para actualizar a SharePoint 2013 es el siguiente:</w:t>
      </w:r>
    </w:p>
    <w:p w:rsidR="00FB0815" w:rsidRDefault="00FB0815" w:rsidP="00FB0815">
      <w:pPr>
        <w:jc w:val="center"/>
        <w:rPr>
          <w:rFonts w:cs="Arial"/>
          <w:szCs w:val="20"/>
        </w:rPr>
      </w:pPr>
      <w:r w:rsidRPr="0089126E">
        <w:rPr>
          <w:noProof/>
          <w:lang w:val="es-CO" w:eastAsia="es-CO"/>
        </w:rPr>
        <w:lastRenderedPageBreak/>
        <w:drawing>
          <wp:inline distT="0" distB="0" distL="0" distR="0">
            <wp:extent cx="3733800" cy="323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3238500"/>
                    </a:xfrm>
                    <a:prstGeom prst="rect">
                      <a:avLst/>
                    </a:prstGeom>
                    <a:noFill/>
                    <a:ln>
                      <a:noFill/>
                    </a:ln>
                  </pic:spPr>
                </pic:pic>
              </a:graphicData>
            </a:graphic>
          </wp:inline>
        </w:drawing>
      </w:r>
    </w:p>
    <w:p w:rsidR="00FB0815" w:rsidRDefault="00FB0815">
      <w:pPr>
        <w:rPr>
          <w:b/>
          <w:bCs/>
        </w:rPr>
      </w:pPr>
    </w:p>
    <w:sectPr w:rsidR="00FB0815" w:rsidSect="00326AB7">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9E" w:rsidRDefault="006B499E">
      <w:r>
        <w:separator/>
      </w:r>
    </w:p>
  </w:endnote>
  <w:endnote w:type="continuationSeparator" w:id="0">
    <w:p w:rsidR="006B499E" w:rsidRDefault="006B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9E" w:rsidRDefault="006B499E">
      <w:r>
        <w:separator/>
      </w:r>
    </w:p>
  </w:footnote>
  <w:footnote w:type="continuationSeparator" w:id="0">
    <w:p w:rsidR="006B499E" w:rsidRDefault="006B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230"/>
      <w:gridCol w:w="1275"/>
    </w:tblGrid>
    <w:tr w:rsidR="00D95BDF" w:rsidTr="00EE5936">
      <w:trPr>
        <w:trHeight w:hRule="exact" w:val="1280"/>
      </w:trPr>
      <w:tc>
        <w:tcPr>
          <w:tcW w:w="1276" w:type="dxa"/>
        </w:tcPr>
        <w:p w:rsidR="00D95BDF" w:rsidRPr="00B43AF5" w:rsidRDefault="006B499E" w:rsidP="00B43AF5">
          <w:pPr>
            <w:pStyle w:val="Encabezado"/>
            <w:jc w:val="center"/>
            <w:rPr>
              <w:lang w:val="es-MX"/>
            </w:rPr>
          </w:pPr>
          <w:r>
            <w:rPr>
              <w:noProof/>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5pt;margin-top:1.55pt;width:52pt;height:58.35pt;z-index:251657216" wrapcoords="-218 0 -218 21405 21600 21405 21600 0 -218 0">
                <v:imagedata r:id="rId1" o:title=""/>
                <w10:wrap type="tight"/>
              </v:shape>
              <o:OLEObject Type="Embed" ProgID="PBrush" ShapeID="_x0000_s2051" DrawAspect="Content" ObjectID="_1511000229" r:id="rId2"/>
            </w:object>
          </w:r>
        </w:p>
        <w:p w:rsidR="00D95BDF" w:rsidRPr="00B43AF5" w:rsidRDefault="00D95BDF" w:rsidP="00B43AF5">
          <w:pPr>
            <w:pStyle w:val="Encabezado"/>
            <w:jc w:val="center"/>
          </w:pPr>
        </w:p>
      </w:tc>
      <w:tc>
        <w:tcPr>
          <w:tcW w:w="7230" w:type="dxa"/>
        </w:tcPr>
        <w:p w:rsidR="00D95BDF" w:rsidRDefault="00D95BDF" w:rsidP="008E5D4D">
          <w:pPr>
            <w:pStyle w:val="Encabezado"/>
            <w:jc w:val="center"/>
            <w:rPr>
              <w:rFonts w:cs="Arial"/>
              <w:bCs/>
              <w:sz w:val="18"/>
              <w:szCs w:val="18"/>
            </w:rPr>
          </w:pPr>
        </w:p>
        <w:p w:rsidR="00D95BDF" w:rsidRDefault="00D95BDF" w:rsidP="008E5D4D">
          <w:pPr>
            <w:pStyle w:val="Encabezado"/>
            <w:jc w:val="center"/>
            <w:rPr>
              <w:rFonts w:cs="Arial"/>
              <w:bCs/>
              <w:sz w:val="18"/>
              <w:szCs w:val="18"/>
            </w:rPr>
          </w:pPr>
        </w:p>
        <w:p w:rsidR="00D95BDF" w:rsidRDefault="00D95BDF" w:rsidP="008E5D4D">
          <w:pPr>
            <w:pStyle w:val="Encabezado"/>
            <w:jc w:val="center"/>
            <w:rPr>
              <w:rFonts w:cs="Arial"/>
              <w:bCs/>
              <w:sz w:val="18"/>
              <w:szCs w:val="18"/>
            </w:rPr>
          </w:pPr>
        </w:p>
        <w:p w:rsidR="00D95BDF" w:rsidRPr="008E5D4D" w:rsidRDefault="00D95BDF" w:rsidP="008E5D4D">
          <w:pPr>
            <w:pStyle w:val="Encabezado"/>
            <w:jc w:val="center"/>
            <w:rPr>
              <w:rFonts w:cs="Arial"/>
              <w:bCs/>
              <w:sz w:val="18"/>
              <w:szCs w:val="18"/>
            </w:rPr>
          </w:pPr>
          <w:r>
            <w:rPr>
              <w:rFonts w:cs="Arial"/>
              <w:bCs/>
              <w:sz w:val="18"/>
              <w:szCs w:val="18"/>
            </w:rPr>
            <w:t xml:space="preserve">DOCUMENTO </w:t>
          </w:r>
          <w:r w:rsidR="00FB0815">
            <w:rPr>
              <w:rFonts w:cs="Arial"/>
              <w:bCs/>
              <w:sz w:val="18"/>
              <w:szCs w:val="18"/>
            </w:rPr>
            <w:t>MIGRACIÓN CONTENIDOS</w:t>
          </w:r>
        </w:p>
        <w:p w:rsidR="00D95BDF" w:rsidRPr="00516D3A" w:rsidRDefault="00D95BDF" w:rsidP="00D95BDF">
          <w:pPr>
            <w:pStyle w:val="Encabezado"/>
            <w:rPr>
              <w:rFonts w:cs="Arial"/>
              <w:sz w:val="16"/>
              <w:szCs w:val="14"/>
            </w:rPr>
          </w:pPr>
        </w:p>
      </w:tc>
      <w:tc>
        <w:tcPr>
          <w:tcW w:w="1275" w:type="dxa"/>
        </w:tcPr>
        <w:p w:rsidR="00D95BDF" w:rsidRPr="00B15425" w:rsidRDefault="006B499E" w:rsidP="00B43AF5">
          <w:pPr>
            <w:pStyle w:val="Encabezado"/>
            <w:jc w:val="center"/>
            <w:rPr>
              <w:rFonts w:ascii="Tahoma" w:hAnsi="Tahoma" w:cs="Tahoma"/>
              <w:sz w:val="8"/>
              <w:szCs w:val="8"/>
            </w:rPr>
          </w:pPr>
          <w:r>
            <w:rPr>
              <w:noProof/>
            </w:rPr>
            <w:object w:dxaOrig="1440" w:dyaOrig="1440">
              <v:shape id="_x0000_s2052" type="#_x0000_t75" style="position:absolute;left:0;text-align:left;margin-left:-4.35pt;margin-top:1.75pt;width:58.5pt;height:60.75pt;z-index:251658240;mso-position-horizontal-relative:text;mso-position-vertical-relative:text" wrapcoords="-277 0 -277 21333 21600 21333 21600 0 -277 0">
                <v:imagedata r:id="rId3" o:title=""/>
                <w10:wrap type="tight"/>
              </v:shape>
              <o:OLEObject Type="Embed" ProgID="PBrush" ShapeID="_x0000_s2052" DrawAspect="Content" ObjectID="_1511000230" r:id="rId4"/>
            </w:object>
          </w:r>
        </w:p>
        <w:p w:rsidR="00D95BDF" w:rsidRPr="00B43AF5" w:rsidRDefault="00D95BDF" w:rsidP="008E5D4D">
          <w:pPr>
            <w:pStyle w:val="Encabezado"/>
            <w:rPr>
              <w:rFonts w:ascii="Tahoma" w:hAnsi="Tahoma" w:cs="Tahoma"/>
              <w:sz w:val="18"/>
              <w:szCs w:val="18"/>
            </w:rPr>
          </w:pPr>
        </w:p>
        <w:p w:rsidR="00D95BDF" w:rsidRPr="00B43AF5" w:rsidRDefault="00D95BDF" w:rsidP="00B43AF5">
          <w:pPr>
            <w:pStyle w:val="Encabezado"/>
            <w:jc w:val="center"/>
            <w:rPr>
              <w:sz w:val="18"/>
              <w:szCs w:val="18"/>
            </w:rPr>
          </w:pPr>
        </w:p>
      </w:tc>
    </w:tr>
  </w:tbl>
  <w:p w:rsidR="002869AD" w:rsidRDefault="002869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7F0B"/>
    <w:multiLevelType w:val="multilevel"/>
    <w:tmpl w:val="3CE8F9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910D9"/>
    <w:multiLevelType w:val="hybridMultilevel"/>
    <w:tmpl w:val="24AA0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C97E07"/>
    <w:multiLevelType w:val="hybridMultilevel"/>
    <w:tmpl w:val="92DA46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7F7AC2"/>
    <w:multiLevelType w:val="hybridMultilevel"/>
    <w:tmpl w:val="F300D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0529B8"/>
    <w:multiLevelType w:val="hybridMultilevel"/>
    <w:tmpl w:val="4BB81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0B0334"/>
    <w:multiLevelType w:val="multilevel"/>
    <w:tmpl w:val="196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12C6A"/>
    <w:multiLevelType w:val="hybridMultilevel"/>
    <w:tmpl w:val="1AA8E2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B47067"/>
    <w:multiLevelType w:val="hybridMultilevel"/>
    <w:tmpl w:val="2858117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F260A3A"/>
    <w:multiLevelType w:val="hybridMultilevel"/>
    <w:tmpl w:val="F160B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B4528F"/>
    <w:multiLevelType w:val="multilevel"/>
    <w:tmpl w:val="DB8AB8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A04B1"/>
    <w:multiLevelType w:val="multilevel"/>
    <w:tmpl w:val="A1F81E62"/>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3021C"/>
    <w:multiLevelType w:val="multilevel"/>
    <w:tmpl w:val="327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813D6"/>
    <w:multiLevelType w:val="hybridMultilevel"/>
    <w:tmpl w:val="73C81D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7D0855"/>
    <w:multiLevelType w:val="hybridMultilevel"/>
    <w:tmpl w:val="A3A8F3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64345D7"/>
    <w:multiLevelType w:val="multilevel"/>
    <w:tmpl w:val="327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C7A93"/>
    <w:multiLevelType w:val="multilevel"/>
    <w:tmpl w:val="DB8AB8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E13A2A"/>
    <w:multiLevelType w:val="multilevel"/>
    <w:tmpl w:val="327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C7910"/>
    <w:multiLevelType w:val="hybridMultilevel"/>
    <w:tmpl w:val="4EF8F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6D778F"/>
    <w:multiLevelType w:val="multilevel"/>
    <w:tmpl w:val="327E77D2"/>
    <w:lvl w:ilvl="0">
      <w:start w:val="1"/>
      <w:numFmt w:val="bullet"/>
      <w:lvlText w:val=""/>
      <w:lvlJc w:val="left"/>
      <w:pPr>
        <w:tabs>
          <w:tab w:val="num" w:pos="2136"/>
        </w:tabs>
        <w:ind w:left="2136" w:hanging="360"/>
      </w:pPr>
      <w:rPr>
        <w:rFonts w:ascii="Symbol" w:hAnsi="Symbol" w:hint="default"/>
        <w:sz w:val="20"/>
      </w:rPr>
    </w:lvl>
    <w:lvl w:ilvl="1">
      <w:start w:val="1"/>
      <w:numFmt w:val="bullet"/>
      <w:lvlText w:val="o"/>
      <w:lvlJc w:val="left"/>
      <w:pPr>
        <w:tabs>
          <w:tab w:val="num" w:pos="2856"/>
        </w:tabs>
        <w:ind w:left="2856" w:hanging="360"/>
      </w:pPr>
      <w:rPr>
        <w:rFonts w:ascii="Courier New" w:hAnsi="Courier New" w:hint="default"/>
        <w:sz w:val="20"/>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19" w15:restartNumberingAfterBreak="0">
    <w:nsid w:val="64816AFA"/>
    <w:multiLevelType w:val="hybridMultilevel"/>
    <w:tmpl w:val="8620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8AC4BB7"/>
    <w:multiLevelType w:val="hybridMultilevel"/>
    <w:tmpl w:val="C8C24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B90706"/>
    <w:multiLevelType w:val="hybridMultilevel"/>
    <w:tmpl w:val="57583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CB4011"/>
    <w:multiLevelType w:val="multilevel"/>
    <w:tmpl w:val="327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06B0B"/>
    <w:multiLevelType w:val="hybridMultilevel"/>
    <w:tmpl w:val="EF761E66"/>
    <w:lvl w:ilvl="0" w:tplc="69E02B20">
      <w:start w:val="3"/>
      <w:numFmt w:val="bullet"/>
      <w:lvlText w:val="-"/>
      <w:lvlJc w:val="left"/>
      <w:pPr>
        <w:tabs>
          <w:tab w:val="num" w:pos="1080"/>
        </w:tabs>
        <w:ind w:left="1080" w:hanging="360"/>
      </w:pPr>
      <w:rPr>
        <w:rFonts w:ascii="Times New Roman" w:eastAsia="Times New Roman" w:hAnsi="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548250A"/>
    <w:multiLevelType w:val="hybridMultilevel"/>
    <w:tmpl w:val="74AC5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4261FA"/>
    <w:multiLevelType w:val="hybridMultilevel"/>
    <w:tmpl w:val="13A64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C6F7174"/>
    <w:multiLevelType w:val="hybridMultilevel"/>
    <w:tmpl w:val="71FA13B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587B7B"/>
    <w:multiLevelType w:val="hybridMultilevel"/>
    <w:tmpl w:val="D39A5ECC"/>
    <w:lvl w:ilvl="0" w:tplc="119CD6D8">
      <w:start w:val="1"/>
      <w:numFmt w:val="bullet"/>
      <w:lvlText w:val=""/>
      <w:lvlJc w:val="left"/>
      <w:pPr>
        <w:ind w:left="360" w:hanging="360"/>
      </w:pPr>
      <w:rPr>
        <w:rFonts w:ascii="Symbol" w:eastAsia="Calibri" w:hAnsi="Symbol"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8" w15:restartNumberingAfterBreak="0">
    <w:nsid w:val="7F523951"/>
    <w:multiLevelType w:val="multilevel"/>
    <w:tmpl w:val="907EA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17"/>
  </w:num>
  <w:num w:numId="4">
    <w:abstractNumId w:val="20"/>
  </w:num>
  <w:num w:numId="5">
    <w:abstractNumId w:val="2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7"/>
  </w:num>
  <w:num w:numId="10">
    <w:abstractNumId w:val="24"/>
  </w:num>
  <w:num w:numId="11">
    <w:abstractNumId w:val="3"/>
  </w:num>
  <w:num w:numId="12">
    <w:abstractNumId w:val="19"/>
  </w:num>
  <w:num w:numId="13">
    <w:abstractNumId w:val="25"/>
  </w:num>
  <w:num w:numId="14">
    <w:abstractNumId w:val="8"/>
  </w:num>
  <w:num w:numId="15">
    <w:abstractNumId w:val="1"/>
  </w:num>
  <w:num w:numId="16">
    <w:abstractNumId w:val="13"/>
  </w:num>
  <w:num w:numId="17">
    <w:abstractNumId w:val="16"/>
  </w:num>
  <w:num w:numId="18">
    <w:abstractNumId w:val="14"/>
  </w:num>
  <w:num w:numId="19">
    <w:abstractNumId w:val="22"/>
  </w:num>
  <w:num w:numId="20">
    <w:abstractNumId w:val="11"/>
  </w:num>
  <w:num w:numId="21">
    <w:abstractNumId w:val="26"/>
  </w:num>
  <w:num w:numId="22">
    <w:abstractNumId w:val="18"/>
  </w:num>
  <w:num w:numId="23">
    <w:abstractNumId w:val="6"/>
  </w:num>
  <w:num w:numId="24">
    <w:abstractNumId w:val="15"/>
  </w:num>
  <w:num w:numId="25">
    <w:abstractNumId w:val="12"/>
  </w:num>
  <w:num w:numId="26">
    <w:abstractNumId w:val="9"/>
  </w:num>
  <w:num w:numId="27">
    <w:abstractNumId w:val="10"/>
  </w:num>
  <w:num w:numId="28">
    <w:abstractNumId w:val="28"/>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20"/>
    <w:rsid w:val="000030BB"/>
    <w:rsid w:val="0000640C"/>
    <w:rsid w:val="0001716A"/>
    <w:rsid w:val="00040780"/>
    <w:rsid w:val="00040980"/>
    <w:rsid w:val="00041E63"/>
    <w:rsid w:val="00042E41"/>
    <w:rsid w:val="000512CA"/>
    <w:rsid w:val="00054EFC"/>
    <w:rsid w:val="0008012A"/>
    <w:rsid w:val="000A0803"/>
    <w:rsid w:val="000B0458"/>
    <w:rsid w:val="000B2A26"/>
    <w:rsid w:val="000D1996"/>
    <w:rsid w:val="000D25FF"/>
    <w:rsid w:val="000E08C7"/>
    <w:rsid w:val="000E2134"/>
    <w:rsid w:val="000F0B65"/>
    <w:rsid w:val="000F2E51"/>
    <w:rsid w:val="00116BCB"/>
    <w:rsid w:val="00121728"/>
    <w:rsid w:val="00130A79"/>
    <w:rsid w:val="00157EFA"/>
    <w:rsid w:val="00161637"/>
    <w:rsid w:val="0016695C"/>
    <w:rsid w:val="0017070B"/>
    <w:rsid w:val="001721F8"/>
    <w:rsid w:val="00180AE2"/>
    <w:rsid w:val="0018430A"/>
    <w:rsid w:val="00192595"/>
    <w:rsid w:val="00193F1C"/>
    <w:rsid w:val="00196B5F"/>
    <w:rsid w:val="001B1EDB"/>
    <w:rsid w:val="001C1D7B"/>
    <w:rsid w:val="001D0403"/>
    <w:rsid w:val="001D5DD5"/>
    <w:rsid w:val="001D6DEB"/>
    <w:rsid w:val="001E6648"/>
    <w:rsid w:val="001E6A76"/>
    <w:rsid w:val="001F60E7"/>
    <w:rsid w:val="00202BBC"/>
    <w:rsid w:val="00205D0C"/>
    <w:rsid w:val="002402A2"/>
    <w:rsid w:val="00250D5C"/>
    <w:rsid w:val="0025474A"/>
    <w:rsid w:val="00257983"/>
    <w:rsid w:val="002619A9"/>
    <w:rsid w:val="00261C67"/>
    <w:rsid w:val="00263DCA"/>
    <w:rsid w:val="00285210"/>
    <w:rsid w:val="002869AD"/>
    <w:rsid w:val="002B3CA4"/>
    <w:rsid w:val="002C677D"/>
    <w:rsid w:val="002F3600"/>
    <w:rsid w:val="0030359B"/>
    <w:rsid w:val="00304EA7"/>
    <w:rsid w:val="00326AB7"/>
    <w:rsid w:val="003363B1"/>
    <w:rsid w:val="00364E38"/>
    <w:rsid w:val="00371AF4"/>
    <w:rsid w:val="003732B7"/>
    <w:rsid w:val="00374469"/>
    <w:rsid w:val="00375861"/>
    <w:rsid w:val="0037658A"/>
    <w:rsid w:val="00380487"/>
    <w:rsid w:val="00390A02"/>
    <w:rsid w:val="003A6E65"/>
    <w:rsid w:val="003D1C3A"/>
    <w:rsid w:val="003D74D9"/>
    <w:rsid w:val="003E39A0"/>
    <w:rsid w:val="003E3F22"/>
    <w:rsid w:val="003F5FEF"/>
    <w:rsid w:val="00410416"/>
    <w:rsid w:val="00414691"/>
    <w:rsid w:val="0041477F"/>
    <w:rsid w:val="0041690D"/>
    <w:rsid w:val="00424C07"/>
    <w:rsid w:val="00425361"/>
    <w:rsid w:val="0043381C"/>
    <w:rsid w:val="004340D4"/>
    <w:rsid w:val="00444880"/>
    <w:rsid w:val="00444F02"/>
    <w:rsid w:val="004504CB"/>
    <w:rsid w:val="00460C24"/>
    <w:rsid w:val="00465762"/>
    <w:rsid w:val="004A54D8"/>
    <w:rsid w:val="004B06F7"/>
    <w:rsid w:val="004B20A1"/>
    <w:rsid w:val="004D5B36"/>
    <w:rsid w:val="004F1D2D"/>
    <w:rsid w:val="004F322A"/>
    <w:rsid w:val="005001F4"/>
    <w:rsid w:val="0050262C"/>
    <w:rsid w:val="00516D3A"/>
    <w:rsid w:val="00537AF0"/>
    <w:rsid w:val="005526D9"/>
    <w:rsid w:val="00562F5D"/>
    <w:rsid w:val="00571BC7"/>
    <w:rsid w:val="00581170"/>
    <w:rsid w:val="00590B95"/>
    <w:rsid w:val="005A3AD4"/>
    <w:rsid w:val="005A60C3"/>
    <w:rsid w:val="005C5225"/>
    <w:rsid w:val="005C69F7"/>
    <w:rsid w:val="005C7C71"/>
    <w:rsid w:val="005D2491"/>
    <w:rsid w:val="005F4CD0"/>
    <w:rsid w:val="00607725"/>
    <w:rsid w:val="006241EE"/>
    <w:rsid w:val="00624AD6"/>
    <w:rsid w:val="006302A8"/>
    <w:rsid w:val="00630736"/>
    <w:rsid w:val="00646BF3"/>
    <w:rsid w:val="0066114B"/>
    <w:rsid w:val="00677390"/>
    <w:rsid w:val="006808EB"/>
    <w:rsid w:val="006A0C30"/>
    <w:rsid w:val="006A7FD0"/>
    <w:rsid w:val="006B3A34"/>
    <w:rsid w:val="006B499E"/>
    <w:rsid w:val="006C2A92"/>
    <w:rsid w:val="006C2E1F"/>
    <w:rsid w:val="006F3D0D"/>
    <w:rsid w:val="007057A5"/>
    <w:rsid w:val="00707DA1"/>
    <w:rsid w:val="00711C75"/>
    <w:rsid w:val="00722DE1"/>
    <w:rsid w:val="0072794A"/>
    <w:rsid w:val="00737974"/>
    <w:rsid w:val="00761E70"/>
    <w:rsid w:val="0076228D"/>
    <w:rsid w:val="007650E9"/>
    <w:rsid w:val="00770683"/>
    <w:rsid w:val="007750CE"/>
    <w:rsid w:val="0077544D"/>
    <w:rsid w:val="00790578"/>
    <w:rsid w:val="007B7BBB"/>
    <w:rsid w:val="007C11AE"/>
    <w:rsid w:val="00810F38"/>
    <w:rsid w:val="008113D8"/>
    <w:rsid w:val="00812A69"/>
    <w:rsid w:val="00823511"/>
    <w:rsid w:val="00831003"/>
    <w:rsid w:val="00842B7D"/>
    <w:rsid w:val="00844153"/>
    <w:rsid w:val="00860C39"/>
    <w:rsid w:val="008620D9"/>
    <w:rsid w:val="0086499B"/>
    <w:rsid w:val="00873BA3"/>
    <w:rsid w:val="0089142A"/>
    <w:rsid w:val="008A55B8"/>
    <w:rsid w:val="008B330B"/>
    <w:rsid w:val="008D28D5"/>
    <w:rsid w:val="008E3613"/>
    <w:rsid w:val="008E5D4D"/>
    <w:rsid w:val="00900B85"/>
    <w:rsid w:val="0091388B"/>
    <w:rsid w:val="0092189E"/>
    <w:rsid w:val="00925FF5"/>
    <w:rsid w:val="00943250"/>
    <w:rsid w:val="009556C7"/>
    <w:rsid w:val="00956CF6"/>
    <w:rsid w:val="009570A1"/>
    <w:rsid w:val="009655C1"/>
    <w:rsid w:val="00967B3D"/>
    <w:rsid w:val="0097019B"/>
    <w:rsid w:val="00974120"/>
    <w:rsid w:val="00985AE3"/>
    <w:rsid w:val="0099506F"/>
    <w:rsid w:val="009B104F"/>
    <w:rsid w:val="009B4E81"/>
    <w:rsid w:val="009B6880"/>
    <w:rsid w:val="009C12C1"/>
    <w:rsid w:val="009C3AD6"/>
    <w:rsid w:val="009D04FA"/>
    <w:rsid w:val="009E65E8"/>
    <w:rsid w:val="009E74F6"/>
    <w:rsid w:val="009F103D"/>
    <w:rsid w:val="009F55B9"/>
    <w:rsid w:val="00A0680B"/>
    <w:rsid w:val="00A10160"/>
    <w:rsid w:val="00A21981"/>
    <w:rsid w:val="00A23D93"/>
    <w:rsid w:val="00A30B9B"/>
    <w:rsid w:val="00A47A23"/>
    <w:rsid w:val="00A47F7B"/>
    <w:rsid w:val="00A51CE2"/>
    <w:rsid w:val="00A53962"/>
    <w:rsid w:val="00A67924"/>
    <w:rsid w:val="00A76834"/>
    <w:rsid w:val="00A77E6C"/>
    <w:rsid w:val="00A82C43"/>
    <w:rsid w:val="00A879E9"/>
    <w:rsid w:val="00A87A9A"/>
    <w:rsid w:val="00A932A2"/>
    <w:rsid w:val="00A93C7A"/>
    <w:rsid w:val="00AA2E97"/>
    <w:rsid w:val="00AA79B6"/>
    <w:rsid w:val="00AB0FF5"/>
    <w:rsid w:val="00AB1239"/>
    <w:rsid w:val="00AB4556"/>
    <w:rsid w:val="00AB500F"/>
    <w:rsid w:val="00AC0F63"/>
    <w:rsid w:val="00AC1A0D"/>
    <w:rsid w:val="00AD01DF"/>
    <w:rsid w:val="00AD15AE"/>
    <w:rsid w:val="00AD755C"/>
    <w:rsid w:val="00B04189"/>
    <w:rsid w:val="00B15425"/>
    <w:rsid w:val="00B20A59"/>
    <w:rsid w:val="00B21BA3"/>
    <w:rsid w:val="00B223D1"/>
    <w:rsid w:val="00B24B4D"/>
    <w:rsid w:val="00B34819"/>
    <w:rsid w:val="00B43AF5"/>
    <w:rsid w:val="00B5017F"/>
    <w:rsid w:val="00B53A81"/>
    <w:rsid w:val="00B56874"/>
    <w:rsid w:val="00B654AC"/>
    <w:rsid w:val="00B727B2"/>
    <w:rsid w:val="00B90F30"/>
    <w:rsid w:val="00BA2AC5"/>
    <w:rsid w:val="00BA3B34"/>
    <w:rsid w:val="00BD6D70"/>
    <w:rsid w:val="00BF3565"/>
    <w:rsid w:val="00C03C12"/>
    <w:rsid w:val="00C06467"/>
    <w:rsid w:val="00C55DED"/>
    <w:rsid w:val="00C64FA9"/>
    <w:rsid w:val="00C74FED"/>
    <w:rsid w:val="00C77503"/>
    <w:rsid w:val="00C960F1"/>
    <w:rsid w:val="00C96D15"/>
    <w:rsid w:val="00CC622E"/>
    <w:rsid w:val="00CC7F8F"/>
    <w:rsid w:val="00CE489C"/>
    <w:rsid w:val="00CE558B"/>
    <w:rsid w:val="00CF5C6A"/>
    <w:rsid w:val="00D103EA"/>
    <w:rsid w:val="00D20E92"/>
    <w:rsid w:val="00D228B0"/>
    <w:rsid w:val="00D22E6D"/>
    <w:rsid w:val="00D41DDF"/>
    <w:rsid w:val="00D55FCE"/>
    <w:rsid w:val="00D566C3"/>
    <w:rsid w:val="00D63803"/>
    <w:rsid w:val="00D77E46"/>
    <w:rsid w:val="00D95BDF"/>
    <w:rsid w:val="00DA10EE"/>
    <w:rsid w:val="00DA1788"/>
    <w:rsid w:val="00DA420C"/>
    <w:rsid w:val="00DB0B91"/>
    <w:rsid w:val="00DB42FB"/>
    <w:rsid w:val="00DB4C5E"/>
    <w:rsid w:val="00DB5F00"/>
    <w:rsid w:val="00DC503B"/>
    <w:rsid w:val="00DC7378"/>
    <w:rsid w:val="00DD1318"/>
    <w:rsid w:val="00DD547D"/>
    <w:rsid w:val="00E06C96"/>
    <w:rsid w:val="00E11F9B"/>
    <w:rsid w:val="00E21747"/>
    <w:rsid w:val="00E36402"/>
    <w:rsid w:val="00E4576B"/>
    <w:rsid w:val="00E46B49"/>
    <w:rsid w:val="00E600CF"/>
    <w:rsid w:val="00E60E73"/>
    <w:rsid w:val="00E65B72"/>
    <w:rsid w:val="00E8303D"/>
    <w:rsid w:val="00E93D84"/>
    <w:rsid w:val="00EA400D"/>
    <w:rsid w:val="00EA4333"/>
    <w:rsid w:val="00EB2F6C"/>
    <w:rsid w:val="00EB3121"/>
    <w:rsid w:val="00EB355B"/>
    <w:rsid w:val="00EB4B41"/>
    <w:rsid w:val="00EB6559"/>
    <w:rsid w:val="00EC5E85"/>
    <w:rsid w:val="00ED6220"/>
    <w:rsid w:val="00ED7068"/>
    <w:rsid w:val="00EE5424"/>
    <w:rsid w:val="00EE56C7"/>
    <w:rsid w:val="00EE5936"/>
    <w:rsid w:val="00EE6227"/>
    <w:rsid w:val="00EF1DF6"/>
    <w:rsid w:val="00EF5720"/>
    <w:rsid w:val="00F1175C"/>
    <w:rsid w:val="00F22DB0"/>
    <w:rsid w:val="00F315D0"/>
    <w:rsid w:val="00F32E76"/>
    <w:rsid w:val="00F37C37"/>
    <w:rsid w:val="00F4740E"/>
    <w:rsid w:val="00F5236B"/>
    <w:rsid w:val="00F80CB2"/>
    <w:rsid w:val="00F91A1A"/>
    <w:rsid w:val="00FA2D23"/>
    <w:rsid w:val="00FB0815"/>
    <w:rsid w:val="00FC77AF"/>
    <w:rsid w:val="00FD6C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96"/>
  <w15:docId w15:val="{1C47046F-0B48-404A-8C6F-433873ED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E8"/>
    <w:rPr>
      <w:rFonts w:ascii="Arial" w:eastAsia="Times New Roman" w:hAnsi="Arial"/>
      <w:szCs w:val="24"/>
      <w:lang w:val="es-ES" w:eastAsia="es-ES"/>
    </w:rPr>
  </w:style>
  <w:style w:type="paragraph" w:styleId="Ttulo1">
    <w:name w:val="heading 1"/>
    <w:basedOn w:val="Normal"/>
    <w:next w:val="Normal"/>
    <w:link w:val="Ttulo1Car"/>
    <w:uiPriority w:val="99"/>
    <w:qFormat/>
    <w:rsid w:val="00761E70"/>
    <w:pPr>
      <w:keepNext/>
      <w:keepLines/>
      <w:outlineLvl w:val="0"/>
    </w:pPr>
    <w:rPr>
      <w:b/>
      <w:bCs/>
      <w:sz w:val="28"/>
      <w:szCs w:val="28"/>
    </w:rPr>
  </w:style>
  <w:style w:type="paragraph" w:styleId="Ttulo2">
    <w:name w:val="heading 2"/>
    <w:basedOn w:val="Normal"/>
    <w:next w:val="Normal"/>
    <w:link w:val="Ttulo2Car"/>
    <w:uiPriority w:val="99"/>
    <w:qFormat/>
    <w:rsid w:val="00A87A9A"/>
    <w:pPr>
      <w:keepNext/>
      <w:keepLines/>
      <w:outlineLvl w:val="1"/>
    </w:pPr>
    <w:rPr>
      <w:b/>
      <w:bCs/>
      <w:sz w:val="24"/>
      <w:szCs w:val="26"/>
    </w:rPr>
  </w:style>
  <w:style w:type="paragraph" w:styleId="Ttulo3">
    <w:name w:val="heading 3"/>
    <w:basedOn w:val="Normal"/>
    <w:next w:val="Normal"/>
    <w:link w:val="Ttulo3Car"/>
    <w:uiPriority w:val="99"/>
    <w:qFormat/>
    <w:rsid w:val="00F91A1A"/>
    <w:pPr>
      <w:keepNext/>
      <w:keepLines/>
      <w:outlineLvl w:val="2"/>
    </w:pPr>
    <w:rPr>
      <w:b/>
      <w:bCs/>
    </w:rPr>
  </w:style>
  <w:style w:type="paragraph" w:styleId="Ttulo4">
    <w:name w:val="heading 4"/>
    <w:basedOn w:val="Normal"/>
    <w:next w:val="Normal"/>
    <w:link w:val="Ttulo4Car"/>
    <w:uiPriority w:val="9"/>
    <w:unhideWhenUsed/>
    <w:qFormat/>
    <w:locked/>
    <w:rsid w:val="00A82C43"/>
    <w:pPr>
      <w:keepNext/>
      <w:keepLines/>
      <w:spacing w:before="40" w:line="259" w:lineRule="auto"/>
      <w:outlineLvl w:val="3"/>
    </w:pPr>
    <w:rPr>
      <w:rFonts w:ascii="Calibri Light" w:hAnsi="Calibri Light"/>
      <w:i/>
      <w:iCs/>
      <w:color w:val="2E74B5"/>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A87A9A"/>
    <w:rPr>
      <w:rFonts w:ascii="Arial" w:hAnsi="Arial" w:cs="Times New Roman"/>
      <w:b/>
      <w:bCs/>
      <w:sz w:val="26"/>
      <w:szCs w:val="26"/>
      <w:lang w:val="x-none" w:eastAsia="es-ES"/>
    </w:rPr>
  </w:style>
  <w:style w:type="character" w:customStyle="1" w:styleId="Ttulo3Car">
    <w:name w:val="Título 3 Car"/>
    <w:link w:val="Ttulo3"/>
    <w:uiPriority w:val="99"/>
    <w:locked/>
    <w:rsid w:val="00F91A1A"/>
    <w:rPr>
      <w:rFonts w:ascii="Arial" w:hAnsi="Arial" w:cs="Times New Roman"/>
      <w:b/>
      <w:bCs/>
      <w:sz w:val="24"/>
      <w:szCs w:val="24"/>
      <w:lang w:val="x-none" w:eastAsia="es-ES"/>
    </w:rPr>
  </w:style>
  <w:style w:type="paragraph" w:styleId="Puesto">
    <w:name w:val="Title"/>
    <w:basedOn w:val="Normal"/>
    <w:next w:val="Normal"/>
    <w:link w:val="PuestoCar"/>
    <w:uiPriority w:val="99"/>
    <w:qFormat/>
    <w:rsid w:val="009570A1"/>
    <w:pPr>
      <w:widowControl w:val="0"/>
    </w:pPr>
    <w:rPr>
      <w:rFonts w:eastAsia="Calibri"/>
      <w:b/>
      <w:iCs/>
      <w:sz w:val="28"/>
      <w:szCs w:val="20"/>
      <w:lang w:eastAsia="en-US"/>
    </w:rPr>
  </w:style>
  <w:style w:type="character" w:customStyle="1" w:styleId="Ttulo1Car">
    <w:name w:val="Título 1 Car"/>
    <w:link w:val="Ttulo1"/>
    <w:uiPriority w:val="99"/>
    <w:locked/>
    <w:rsid w:val="00761E70"/>
    <w:rPr>
      <w:rFonts w:ascii="Arial" w:hAnsi="Arial" w:cs="Times New Roman"/>
      <w:b/>
      <w:bCs/>
      <w:sz w:val="28"/>
      <w:szCs w:val="28"/>
      <w:lang w:val="x-none" w:eastAsia="es-ES"/>
    </w:rPr>
  </w:style>
  <w:style w:type="paragraph" w:customStyle="1" w:styleId="Tabletext">
    <w:name w:val="Tabletext"/>
    <w:basedOn w:val="Normal"/>
    <w:uiPriority w:val="99"/>
    <w:rsid w:val="00974120"/>
    <w:pPr>
      <w:keepLines/>
      <w:widowControl w:val="0"/>
      <w:spacing w:after="120" w:line="240" w:lineRule="atLeast"/>
      <w:jc w:val="both"/>
    </w:pPr>
    <w:rPr>
      <w:rFonts w:ascii="Verdana" w:eastAsia="Calibri" w:hAnsi="Verdana"/>
      <w:iCs/>
      <w:sz w:val="16"/>
      <w:szCs w:val="20"/>
      <w:lang w:eastAsia="en-US"/>
    </w:rPr>
  </w:style>
  <w:style w:type="character" w:customStyle="1" w:styleId="PuestoCar">
    <w:name w:val="Puesto Car"/>
    <w:link w:val="Puesto"/>
    <w:uiPriority w:val="99"/>
    <w:locked/>
    <w:rsid w:val="009570A1"/>
    <w:rPr>
      <w:rFonts w:ascii="Arial" w:hAnsi="Arial" w:cs="Times New Roman"/>
      <w:b/>
      <w:iCs/>
      <w:sz w:val="20"/>
      <w:szCs w:val="20"/>
    </w:rPr>
  </w:style>
  <w:style w:type="table" w:styleId="Tablaconcuadrcula">
    <w:name w:val="Table Grid"/>
    <w:basedOn w:val="Tablanormal"/>
    <w:uiPriority w:val="39"/>
    <w:rsid w:val="00607725"/>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deTDC">
    <w:name w:val="TOC Heading"/>
    <w:basedOn w:val="Ttulo1"/>
    <w:next w:val="Normal"/>
    <w:uiPriority w:val="39"/>
    <w:qFormat/>
    <w:rsid w:val="000A0803"/>
    <w:pPr>
      <w:spacing w:line="276" w:lineRule="auto"/>
      <w:outlineLvl w:val="9"/>
    </w:pPr>
    <w:rPr>
      <w:lang w:eastAsia="en-US"/>
    </w:rPr>
  </w:style>
  <w:style w:type="paragraph" w:styleId="Textodeglobo">
    <w:name w:val="Balloon Text"/>
    <w:basedOn w:val="Normal"/>
    <w:link w:val="TextodegloboCar"/>
    <w:uiPriority w:val="99"/>
    <w:semiHidden/>
    <w:rsid w:val="000A0803"/>
    <w:rPr>
      <w:rFonts w:ascii="Tahoma" w:hAnsi="Tahoma" w:cs="Tahoma"/>
      <w:sz w:val="16"/>
      <w:szCs w:val="16"/>
    </w:rPr>
  </w:style>
  <w:style w:type="paragraph" w:styleId="TDC1">
    <w:name w:val="toc 1"/>
    <w:basedOn w:val="Normal"/>
    <w:next w:val="Normal"/>
    <w:autoRedefine/>
    <w:uiPriority w:val="39"/>
    <w:rsid w:val="007650E9"/>
    <w:pPr>
      <w:spacing w:after="100"/>
    </w:pPr>
  </w:style>
  <w:style w:type="character" w:customStyle="1" w:styleId="TextodegloboCar">
    <w:name w:val="Texto de globo Car"/>
    <w:link w:val="Textodeglobo"/>
    <w:uiPriority w:val="99"/>
    <w:semiHidden/>
    <w:locked/>
    <w:rsid w:val="000A0803"/>
    <w:rPr>
      <w:rFonts w:ascii="Tahoma" w:hAnsi="Tahoma" w:cs="Tahoma"/>
      <w:sz w:val="16"/>
      <w:szCs w:val="16"/>
      <w:lang w:val="x-none" w:eastAsia="es-ES"/>
    </w:rPr>
  </w:style>
  <w:style w:type="character" w:styleId="Hipervnculo">
    <w:name w:val="Hyperlink"/>
    <w:uiPriority w:val="99"/>
    <w:rsid w:val="007650E9"/>
    <w:rPr>
      <w:rFonts w:cs="Times New Roman"/>
      <w:color w:val="0000FF"/>
      <w:u w:val="single"/>
    </w:rPr>
  </w:style>
  <w:style w:type="paragraph" w:styleId="Subttulo">
    <w:name w:val="Subtitle"/>
    <w:basedOn w:val="Normal"/>
    <w:next w:val="Normal"/>
    <w:link w:val="SubttuloCar"/>
    <w:uiPriority w:val="99"/>
    <w:qFormat/>
    <w:rsid w:val="00A87A9A"/>
    <w:pPr>
      <w:numPr>
        <w:ilvl w:val="1"/>
      </w:numPr>
    </w:pPr>
    <w:rPr>
      <w:rFonts w:ascii="Cambria" w:hAnsi="Cambria"/>
      <w:i/>
      <w:iCs/>
      <w:color w:val="4F81BD"/>
      <w:spacing w:val="15"/>
      <w:sz w:val="24"/>
    </w:rPr>
  </w:style>
  <w:style w:type="paragraph" w:styleId="TDC2">
    <w:name w:val="toc 2"/>
    <w:basedOn w:val="Normal"/>
    <w:next w:val="Normal"/>
    <w:autoRedefine/>
    <w:uiPriority w:val="39"/>
    <w:rsid w:val="00A87A9A"/>
    <w:pPr>
      <w:spacing w:after="100" w:line="276" w:lineRule="auto"/>
      <w:ind w:left="220"/>
    </w:pPr>
    <w:rPr>
      <w:rFonts w:ascii="Calibri" w:hAnsi="Calibri"/>
      <w:sz w:val="22"/>
      <w:szCs w:val="22"/>
      <w:lang w:eastAsia="en-US"/>
    </w:rPr>
  </w:style>
  <w:style w:type="character" w:customStyle="1" w:styleId="SubttuloCar">
    <w:name w:val="Subtítulo Car"/>
    <w:link w:val="Subttulo"/>
    <w:uiPriority w:val="99"/>
    <w:locked/>
    <w:rsid w:val="00A87A9A"/>
    <w:rPr>
      <w:rFonts w:ascii="Cambria" w:hAnsi="Cambria" w:cs="Times New Roman"/>
      <w:i/>
      <w:iCs/>
      <w:color w:val="4F81BD"/>
      <w:spacing w:val="15"/>
      <w:sz w:val="24"/>
      <w:szCs w:val="24"/>
      <w:lang w:val="x-none" w:eastAsia="es-ES"/>
    </w:rPr>
  </w:style>
  <w:style w:type="paragraph" w:styleId="TDC3">
    <w:name w:val="toc 3"/>
    <w:basedOn w:val="Normal"/>
    <w:next w:val="Normal"/>
    <w:autoRedefine/>
    <w:uiPriority w:val="39"/>
    <w:rsid w:val="00A87A9A"/>
    <w:pPr>
      <w:spacing w:after="100" w:line="276" w:lineRule="auto"/>
      <w:ind w:left="440"/>
    </w:pPr>
    <w:rPr>
      <w:rFonts w:ascii="Calibri" w:hAnsi="Calibri"/>
      <w:sz w:val="22"/>
      <w:szCs w:val="22"/>
      <w:lang w:eastAsia="en-US"/>
    </w:rPr>
  </w:style>
  <w:style w:type="paragraph" w:customStyle="1" w:styleId="InfoBlue">
    <w:name w:val="InfoBlue"/>
    <w:basedOn w:val="Normal"/>
    <w:next w:val="Textoindependiente"/>
    <w:autoRedefine/>
    <w:uiPriority w:val="99"/>
    <w:rsid w:val="00A76834"/>
    <w:pPr>
      <w:widowControl w:val="0"/>
      <w:spacing w:after="120" w:line="240" w:lineRule="atLeast"/>
      <w:ind w:left="720"/>
    </w:pPr>
    <w:rPr>
      <w:rFonts w:ascii="Times New Roman" w:hAnsi="Times New Roman"/>
      <w:i/>
      <w:color w:val="0000FF"/>
      <w:szCs w:val="20"/>
      <w:lang w:val="en-US" w:eastAsia="en-US"/>
    </w:rPr>
  </w:style>
  <w:style w:type="paragraph" w:styleId="Textoindependiente">
    <w:name w:val="Body Text"/>
    <w:basedOn w:val="Normal"/>
    <w:link w:val="TextoindependienteCar"/>
    <w:uiPriority w:val="99"/>
    <w:semiHidden/>
    <w:rsid w:val="00A76834"/>
    <w:pPr>
      <w:spacing w:after="120"/>
    </w:pPr>
  </w:style>
  <w:style w:type="paragraph" w:styleId="NormalWeb">
    <w:name w:val="Normal (Web)"/>
    <w:basedOn w:val="Normal"/>
    <w:uiPriority w:val="99"/>
    <w:semiHidden/>
    <w:rsid w:val="00D228B0"/>
    <w:pPr>
      <w:spacing w:before="100" w:beforeAutospacing="1" w:after="100" w:afterAutospacing="1"/>
    </w:pPr>
    <w:rPr>
      <w:rFonts w:ascii="Verdana" w:eastAsia="Arial Unicode MS" w:hAnsi="Verdana" w:cs="Arial Unicode MS"/>
      <w:color w:val="5A5A5A"/>
      <w:sz w:val="16"/>
      <w:szCs w:val="16"/>
    </w:rPr>
  </w:style>
  <w:style w:type="character" w:customStyle="1" w:styleId="TextoindependienteCar">
    <w:name w:val="Texto independiente Car"/>
    <w:link w:val="Textoindependiente"/>
    <w:uiPriority w:val="99"/>
    <w:semiHidden/>
    <w:locked/>
    <w:rsid w:val="00A76834"/>
    <w:rPr>
      <w:rFonts w:ascii="Arial" w:hAnsi="Arial" w:cs="Times New Roman"/>
      <w:sz w:val="24"/>
      <w:szCs w:val="24"/>
      <w:lang w:val="x-none" w:eastAsia="es-ES"/>
    </w:rPr>
  </w:style>
  <w:style w:type="paragraph" w:styleId="Descripcin">
    <w:name w:val="caption"/>
    <w:basedOn w:val="Normal"/>
    <w:next w:val="Normal"/>
    <w:uiPriority w:val="35"/>
    <w:qFormat/>
    <w:rsid w:val="00EA4333"/>
    <w:pPr>
      <w:spacing w:after="200"/>
    </w:pPr>
    <w:rPr>
      <w:b/>
      <w:bCs/>
      <w:color w:val="4F81BD"/>
      <w:sz w:val="18"/>
      <w:szCs w:val="18"/>
    </w:rPr>
  </w:style>
  <w:style w:type="paragraph" w:styleId="Prrafodelista">
    <w:name w:val="List Paragraph"/>
    <w:basedOn w:val="Normal"/>
    <w:uiPriority w:val="34"/>
    <w:qFormat/>
    <w:rsid w:val="00EB355B"/>
    <w:pPr>
      <w:ind w:left="720"/>
      <w:contextualSpacing/>
    </w:pPr>
  </w:style>
  <w:style w:type="paragraph" w:styleId="Tabladeilustraciones">
    <w:name w:val="table of figures"/>
    <w:basedOn w:val="Normal"/>
    <w:next w:val="Normal"/>
    <w:uiPriority w:val="99"/>
    <w:rsid w:val="00B727B2"/>
  </w:style>
  <w:style w:type="paragraph" w:styleId="Encabezado">
    <w:name w:val="header"/>
    <w:basedOn w:val="Normal"/>
    <w:link w:val="EncabezadoCar"/>
    <w:uiPriority w:val="99"/>
    <w:rsid w:val="00A67924"/>
    <w:pPr>
      <w:tabs>
        <w:tab w:val="center" w:pos="4252"/>
        <w:tab w:val="right" w:pos="8504"/>
      </w:tabs>
    </w:pPr>
  </w:style>
  <w:style w:type="paragraph" w:styleId="Piedepgina">
    <w:name w:val="footer"/>
    <w:basedOn w:val="Normal"/>
    <w:link w:val="PiedepginaCar"/>
    <w:uiPriority w:val="99"/>
    <w:rsid w:val="00A67924"/>
    <w:pPr>
      <w:tabs>
        <w:tab w:val="center" w:pos="4252"/>
        <w:tab w:val="right" w:pos="8504"/>
      </w:tabs>
    </w:pPr>
  </w:style>
  <w:style w:type="character" w:customStyle="1" w:styleId="EncabezadoCar">
    <w:name w:val="Encabezado Car"/>
    <w:link w:val="Encabezado"/>
    <w:uiPriority w:val="99"/>
    <w:semiHidden/>
    <w:locked/>
    <w:rsid w:val="00590B95"/>
    <w:rPr>
      <w:rFonts w:ascii="Arial" w:hAnsi="Arial" w:cs="Times New Roman"/>
      <w:sz w:val="24"/>
      <w:szCs w:val="24"/>
      <w:lang w:val="es-ES" w:eastAsia="es-ES"/>
    </w:rPr>
  </w:style>
  <w:style w:type="character" w:customStyle="1" w:styleId="Ttulo4Car">
    <w:name w:val="Título 4 Car"/>
    <w:link w:val="Ttulo4"/>
    <w:uiPriority w:val="9"/>
    <w:rsid w:val="00A82C43"/>
    <w:rPr>
      <w:rFonts w:ascii="Calibri Light" w:eastAsia="Times New Roman" w:hAnsi="Calibri Light"/>
      <w:i/>
      <w:iCs/>
      <w:color w:val="2E74B5"/>
      <w:sz w:val="22"/>
      <w:szCs w:val="22"/>
      <w:lang w:eastAsia="en-US"/>
    </w:rPr>
  </w:style>
  <w:style w:type="character" w:customStyle="1" w:styleId="PiedepginaCar">
    <w:name w:val="Pie de página Car"/>
    <w:link w:val="Piedepgina"/>
    <w:uiPriority w:val="99"/>
    <w:semiHidden/>
    <w:locked/>
    <w:rsid w:val="00590B95"/>
    <w:rPr>
      <w:rFonts w:ascii="Arial" w:hAnsi="Arial" w:cs="Times New Roman"/>
      <w:sz w:val="24"/>
      <w:szCs w:val="24"/>
      <w:lang w:val="es-ES" w:eastAsia="es-ES"/>
    </w:rPr>
  </w:style>
  <w:style w:type="paragraph" w:customStyle="1" w:styleId="Default">
    <w:name w:val="Default"/>
    <w:rsid w:val="00DC503B"/>
    <w:pPr>
      <w:autoSpaceDE w:val="0"/>
      <w:autoSpaceDN w:val="0"/>
      <w:adjustRightInd w:val="0"/>
    </w:pPr>
    <w:rPr>
      <w:rFonts w:ascii="Arial" w:hAnsi="Arial" w:cs="Arial"/>
      <w:color w:val="000000"/>
      <w:sz w:val="24"/>
      <w:szCs w:val="24"/>
      <w:lang w:eastAsia="en-US"/>
    </w:rPr>
  </w:style>
  <w:style w:type="character" w:styleId="nfasis">
    <w:name w:val="Emphasis"/>
    <w:qFormat/>
    <w:locked/>
    <w:rsid w:val="00196B5F"/>
    <w:rPr>
      <w:i/>
      <w:iCs/>
    </w:rPr>
  </w:style>
  <w:style w:type="character" w:styleId="Refdecomentario">
    <w:name w:val="annotation reference"/>
    <w:uiPriority w:val="99"/>
    <w:semiHidden/>
    <w:unhideWhenUsed/>
    <w:rsid w:val="00B04189"/>
    <w:rPr>
      <w:sz w:val="16"/>
      <w:szCs w:val="16"/>
    </w:rPr>
  </w:style>
  <w:style w:type="paragraph" w:styleId="Textocomentario">
    <w:name w:val="annotation text"/>
    <w:basedOn w:val="Normal"/>
    <w:link w:val="TextocomentarioCar"/>
    <w:uiPriority w:val="99"/>
    <w:semiHidden/>
    <w:unhideWhenUsed/>
    <w:rsid w:val="00B04189"/>
    <w:rPr>
      <w:szCs w:val="20"/>
    </w:rPr>
  </w:style>
  <w:style w:type="character" w:customStyle="1" w:styleId="TextocomentarioCar">
    <w:name w:val="Texto comentario Car"/>
    <w:link w:val="Textocomentario"/>
    <w:uiPriority w:val="99"/>
    <w:semiHidden/>
    <w:rsid w:val="00B04189"/>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B04189"/>
    <w:rPr>
      <w:b/>
      <w:bCs/>
    </w:rPr>
  </w:style>
  <w:style w:type="character" w:customStyle="1" w:styleId="AsuntodelcomentarioCar">
    <w:name w:val="Asunto del comentario Car"/>
    <w:link w:val="Asuntodelcomentario"/>
    <w:uiPriority w:val="99"/>
    <w:semiHidden/>
    <w:rsid w:val="00B04189"/>
    <w:rPr>
      <w:rFonts w:ascii="Arial" w:eastAsia="Times New Roman" w:hAnsi="Arial"/>
      <w:b/>
      <w:bCs/>
      <w:lang w:val="es-ES" w:eastAsia="es-ES"/>
    </w:rPr>
  </w:style>
  <w:style w:type="paragraph" w:styleId="Revisin">
    <w:name w:val="Revision"/>
    <w:hidden/>
    <w:uiPriority w:val="99"/>
    <w:semiHidden/>
    <w:rsid w:val="00B20A59"/>
    <w:rPr>
      <w:rFonts w:ascii="Arial" w:eastAsia="Times New Roman" w:hAnsi="Arial"/>
      <w:szCs w:val="24"/>
      <w:lang w:val="es-ES" w:eastAsia="es-ES"/>
    </w:rPr>
  </w:style>
  <w:style w:type="character" w:customStyle="1" w:styleId="lwcollapsibleareatitle">
    <w:name w:val="lw_collapsiblearea_title"/>
    <w:rsid w:val="005F4CD0"/>
  </w:style>
  <w:style w:type="character" w:styleId="Textoennegrita">
    <w:name w:val="Strong"/>
    <w:uiPriority w:val="22"/>
    <w:qFormat/>
    <w:locked/>
    <w:rsid w:val="005F4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25703">
      <w:bodyDiv w:val="1"/>
      <w:marLeft w:val="0"/>
      <w:marRight w:val="0"/>
      <w:marTop w:val="0"/>
      <w:marBottom w:val="0"/>
      <w:divBdr>
        <w:top w:val="none" w:sz="0" w:space="0" w:color="auto"/>
        <w:left w:val="none" w:sz="0" w:space="0" w:color="auto"/>
        <w:bottom w:val="none" w:sz="0" w:space="0" w:color="auto"/>
        <w:right w:val="none" w:sz="0" w:space="0" w:color="auto"/>
      </w:divBdr>
    </w:div>
    <w:div w:id="622155254">
      <w:bodyDiv w:val="1"/>
      <w:marLeft w:val="0"/>
      <w:marRight w:val="0"/>
      <w:marTop w:val="0"/>
      <w:marBottom w:val="0"/>
      <w:divBdr>
        <w:top w:val="none" w:sz="0" w:space="0" w:color="auto"/>
        <w:left w:val="none" w:sz="0" w:space="0" w:color="auto"/>
        <w:bottom w:val="none" w:sz="0" w:space="0" w:color="auto"/>
        <w:right w:val="none" w:sz="0" w:space="0" w:color="auto"/>
      </w:divBdr>
    </w:div>
    <w:div w:id="1014964681">
      <w:bodyDiv w:val="1"/>
      <w:marLeft w:val="0"/>
      <w:marRight w:val="0"/>
      <w:marTop w:val="0"/>
      <w:marBottom w:val="0"/>
      <w:divBdr>
        <w:top w:val="none" w:sz="0" w:space="0" w:color="auto"/>
        <w:left w:val="none" w:sz="0" w:space="0" w:color="auto"/>
        <w:bottom w:val="none" w:sz="0" w:space="0" w:color="auto"/>
        <w:right w:val="none" w:sz="0" w:space="0" w:color="auto"/>
      </w:divBdr>
    </w:div>
    <w:div w:id="1373731767">
      <w:bodyDiv w:val="1"/>
      <w:marLeft w:val="0"/>
      <w:marRight w:val="0"/>
      <w:marTop w:val="0"/>
      <w:marBottom w:val="0"/>
      <w:divBdr>
        <w:top w:val="none" w:sz="0" w:space="0" w:color="auto"/>
        <w:left w:val="none" w:sz="0" w:space="0" w:color="auto"/>
        <w:bottom w:val="none" w:sz="0" w:space="0" w:color="auto"/>
        <w:right w:val="none" w:sz="0" w:space="0" w:color="auto"/>
      </w:divBdr>
    </w:div>
    <w:div w:id="1418478184">
      <w:bodyDiv w:val="1"/>
      <w:marLeft w:val="0"/>
      <w:marRight w:val="0"/>
      <w:marTop w:val="0"/>
      <w:marBottom w:val="0"/>
      <w:divBdr>
        <w:top w:val="none" w:sz="0" w:space="0" w:color="auto"/>
        <w:left w:val="none" w:sz="0" w:space="0" w:color="auto"/>
        <w:bottom w:val="none" w:sz="0" w:space="0" w:color="auto"/>
        <w:right w:val="none" w:sz="0" w:space="0" w:color="auto"/>
      </w:divBdr>
    </w:div>
    <w:div w:id="1463110965">
      <w:marLeft w:val="0"/>
      <w:marRight w:val="0"/>
      <w:marTop w:val="0"/>
      <w:marBottom w:val="0"/>
      <w:divBdr>
        <w:top w:val="none" w:sz="0" w:space="0" w:color="auto"/>
        <w:left w:val="none" w:sz="0" w:space="0" w:color="auto"/>
        <w:bottom w:val="none" w:sz="0" w:space="0" w:color="auto"/>
        <w:right w:val="none" w:sz="0" w:space="0" w:color="auto"/>
      </w:divBdr>
    </w:div>
    <w:div w:id="20129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CC74A302DBF9346B1CE686174A312D1" ma:contentTypeVersion="0" ma:contentTypeDescription="Crear nuevo documento." ma:contentTypeScope="" ma:versionID="df228b2799ec4c41c60f7a6ccc6796c3">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EE7F4-976F-4437-BEFE-0C62D9C9D8DE}"/>
</file>

<file path=customXml/itemProps2.xml><?xml version="1.0" encoding="utf-8"?>
<ds:datastoreItem xmlns:ds="http://schemas.openxmlformats.org/officeDocument/2006/customXml" ds:itemID="{A3B8D706-B966-4A5B-8AF0-48CADE9EE937}"/>
</file>

<file path=customXml/itemProps3.xml><?xml version="1.0" encoding="utf-8"?>
<ds:datastoreItem xmlns:ds="http://schemas.openxmlformats.org/officeDocument/2006/customXml" ds:itemID="{C06179B4-9D4A-48DF-A077-4131CDD90E5B}"/>
</file>

<file path=customXml/itemProps4.xml><?xml version="1.0" encoding="utf-8"?>
<ds:datastoreItem xmlns:ds="http://schemas.openxmlformats.org/officeDocument/2006/customXml" ds:itemID="{2A883484-20B1-473E-9A95-2F8FA53037F2}"/>
</file>

<file path=docProps/app.xml><?xml version="1.0" encoding="utf-8"?>
<Properties xmlns="http://schemas.openxmlformats.org/officeDocument/2006/extended-properties" xmlns:vt="http://schemas.openxmlformats.org/officeDocument/2006/docPropsVTypes">
  <Template>Normal</Template>
  <TotalTime>6</TotalTime>
  <Pages>6</Pages>
  <Words>1201</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GUÍA PARA EL DOCUMENTO DE ANÁLISIS (Desarrollo de Soluciones Informáticas)</vt:lpstr>
    </vt:vector>
  </TitlesOfParts>
  <Company>optimus</Company>
  <LinksUpToDate>false</LinksUpToDate>
  <CharactersWithSpaces>7792</CharactersWithSpaces>
  <SharedDoc>false</SharedDoc>
  <HLinks>
    <vt:vector size="264" baseType="variant">
      <vt:variant>
        <vt:i4>2031664</vt:i4>
      </vt:variant>
      <vt:variant>
        <vt:i4>260</vt:i4>
      </vt:variant>
      <vt:variant>
        <vt:i4>0</vt:i4>
      </vt:variant>
      <vt:variant>
        <vt:i4>5</vt:i4>
      </vt:variant>
      <vt:variant>
        <vt:lpwstr/>
      </vt:variant>
      <vt:variant>
        <vt:lpwstr>_Toc437241785</vt:lpwstr>
      </vt:variant>
      <vt:variant>
        <vt:i4>2031664</vt:i4>
      </vt:variant>
      <vt:variant>
        <vt:i4>254</vt:i4>
      </vt:variant>
      <vt:variant>
        <vt:i4>0</vt:i4>
      </vt:variant>
      <vt:variant>
        <vt:i4>5</vt:i4>
      </vt:variant>
      <vt:variant>
        <vt:lpwstr/>
      </vt:variant>
      <vt:variant>
        <vt:lpwstr>_Toc437241784</vt:lpwstr>
      </vt:variant>
      <vt:variant>
        <vt:i4>2031664</vt:i4>
      </vt:variant>
      <vt:variant>
        <vt:i4>248</vt:i4>
      </vt:variant>
      <vt:variant>
        <vt:i4>0</vt:i4>
      </vt:variant>
      <vt:variant>
        <vt:i4>5</vt:i4>
      </vt:variant>
      <vt:variant>
        <vt:lpwstr/>
      </vt:variant>
      <vt:variant>
        <vt:lpwstr>_Toc437241783</vt:lpwstr>
      </vt:variant>
      <vt:variant>
        <vt:i4>2031664</vt:i4>
      </vt:variant>
      <vt:variant>
        <vt:i4>242</vt:i4>
      </vt:variant>
      <vt:variant>
        <vt:i4>0</vt:i4>
      </vt:variant>
      <vt:variant>
        <vt:i4>5</vt:i4>
      </vt:variant>
      <vt:variant>
        <vt:lpwstr/>
      </vt:variant>
      <vt:variant>
        <vt:lpwstr>_Toc437241782</vt:lpwstr>
      </vt:variant>
      <vt:variant>
        <vt:i4>2031664</vt:i4>
      </vt:variant>
      <vt:variant>
        <vt:i4>236</vt:i4>
      </vt:variant>
      <vt:variant>
        <vt:i4>0</vt:i4>
      </vt:variant>
      <vt:variant>
        <vt:i4>5</vt:i4>
      </vt:variant>
      <vt:variant>
        <vt:lpwstr/>
      </vt:variant>
      <vt:variant>
        <vt:lpwstr>_Toc437241781</vt:lpwstr>
      </vt:variant>
      <vt:variant>
        <vt:i4>2031664</vt:i4>
      </vt:variant>
      <vt:variant>
        <vt:i4>230</vt:i4>
      </vt:variant>
      <vt:variant>
        <vt:i4>0</vt:i4>
      </vt:variant>
      <vt:variant>
        <vt:i4>5</vt:i4>
      </vt:variant>
      <vt:variant>
        <vt:lpwstr/>
      </vt:variant>
      <vt:variant>
        <vt:lpwstr>_Toc437241780</vt:lpwstr>
      </vt:variant>
      <vt:variant>
        <vt:i4>1048624</vt:i4>
      </vt:variant>
      <vt:variant>
        <vt:i4>224</vt:i4>
      </vt:variant>
      <vt:variant>
        <vt:i4>0</vt:i4>
      </vt:variant>
      <vt:variant>
        <vt:i4>5</vt:i4>
      </vt:variant>
      <vt:variant>
        <vt:lpwstr/>
      </vt:variant>
      <vt:variant>
        <vt:lpwstr>_Toc437241779</vt:lpwstr>
      </vt:variant>
      <vt:variant>
        <vt:i4>1048624</vt:i4>
      </vt:variant>
      <vt:variant>
        <vt:i4>218</vt:i4>
      </vt:variant>
      <vt:variant>
        <vt:i4>0</vt:i4>
      </vt:variant>
      <vt:variant>
        <vt:i4>5</vt:i4>
      </vt:variant>
      <vt:variant>
        <vt:lpwstr/>
      </vt:variant>
      <vt:variant>
        <vt:lpwstr>_Toc437241778</vt:lpwstr>
      </vt:variant>
      <vt:variant>
        <vt:i4>1048624</vt:i4>
      </vt:variant>
      <vt:variant>
        <vt:i4>212</vt:i4>
      </vt:variant>
      <vt:variant>
        <vt:i4>0</vt:i4>
      </vt:variant>
      <vt:variant>
        <vt:i4>5</vt:i4>
      </vt:variant>
      <vt:variant>
        <vt:lpwstr/>
      </vt:variant>
      <vt:variant>
        <vt:lpwstr>_Toc437241777</vt:lpwstr>
      </vt:variant>
      <vt:variant>
        <vt:i4>1048624</vt:i4>
      </vt:variant>
      <vt:variant>
        <vt:i4>206</vt:i4>
      </vt:variant>
      <vt:variant>
        <vt:i4>0</vt:i4>
      </vt:variant>
      <vt:variant>
        <vt:i4>5</vt:i4>
      </vt:variant>
      <vt:variant>
        <vt:lpwstr/>
      </vt:variant>
      <vt:variant>
        <vt:lpwstr>_Toc437241776</vt:lpwstr>
      </vt:variant>
      <vt:variant>
        <vt:i4>1048624</vt:i4>
      </vt:variant>
      <vt:variant>
        <vt:i4>200</vt:i4>
      </vt:variant>
      <vt:variant>
        <vt:i4>0</vt:i4>
      </vt:variant>
      <vt:variant>
        <vt:i4>5</vt:i4>
      </vt:variant>
      <vt:variant>
        <vt:lpwstr/>
      </vt:variant>
      <vt:variant>
        <vt:lpwstr>_Toc437241775</vt:lpwstr>
      </vt:variant>
      <vt:variant>
        <vt:i4>1048624</vt:i4>
      </vt:variant>
      <vt:variant>
        <vt:i4>194</vt:i4>
      </vt:variant>
      <vt:variant>
        <vt:i4>0</vt:i4>
      </vt:variant>
      <vt:variant>
        <vt:i4>5</vt:i4>
      </vt:variant>
      <vt:variant>
        <vt:lpwstr/>
      </vt:variant>
      <vt:variant>
        <vt:lpwstr>_Toc437241774</vt:lpwstr>
      </vt:variant>
      <vt:variant>
        <vt:i4>1048624</vt:i4>
      </vt:variant>
      <vt:variant>
        <vt:i4>188</vt:i4>
      </vt:variant>
      <vt:variant>
        <vt:i4>0</vt:i4>
      </vt:variant>
      <vt:variant>
        <vt:i4>5</vt:i4>
      </vt:variant>
      <vt:variant>
        <vt:lpwstr/>
      </vt:variant>
      <vt:variant>
        <vt:lpwstr>_Toc437241773</vt:lpwstr>
      </vt:variant>
      <vt:variant>
        <vt:i4>1048624</vt:i4>
      </vt:variant>
      <vt:variant>
        <vt:i4>182</vt:i4>
      </vt:variant>
      <vt:variant>
        <vt:i4>0</vt:i4>
      </vt:variant>
      <vt:variant>
        <vt:i4>5</vt:i4>
      </vt:variant>
      <vt:variant>
        <vt:lpwstr/>
      </vt:variant>
      <vt:variant>
        <vt:lpwstr>_Toc437241772</vt:lpwstr>
      </vt:variant>
      <vt:variant>
        <vt:i4>1048624</vt:i4>
      </vt:variant>
      <vt:variant>
        <vt:i4>176</vt:i4>
      </vt:variant>
      <vt:variant>
        <vt:i4>0</vt:i4>
      </vt:variant>
      <vt:variant>
        <vt:i4>5</vt:i4>
      </vt:variant>
      <vt:variant>
        <vt:lpwstr/>
      </vt:variant>
      <vt:variant>
        <vt:lpwstr>_Toc437241771</vt:lpwstr>
      </vt:variant>
      <vt:variant>
        <vt:i4>1048624</vt:i4>
      </vt:variant>
      <vt:variant>
        <vt:i4>170</vt:i4>
      </vt:variant>
      <vt:variant>
        <vt:i4>0</vt:i4>
      </vt:variant>
      <vt:variant>
        <vt:i4>5</vt:i4>
      </vt:variant>
      <vt:variant>
        <vt:lpwstr/>
      </vt:variant>
      <vt:variant>
        <vt:lpwstr>_Toc437241770</vt:lpwstr>
      </vt:variant>
      <vt:variant>
        <vt:i4>1114160</vt:i4>
      </vt:variant>
      <vt:variant>
        <vt:i4>164</vt:i4>
      </vt:variant>
      <vt:variant>
        <vt:i4>0</vt:i4>
      </vt:variant>
      <vt:variant>
        <vt:i4>5</vt:i4>
      </vt:variant>
      <vt:variant>
        <vt:lpwstr/>
      </vt:variant>
      <vt:variant>
        <vt:lpwstr>_Toc437241769</vt:lpwstr>
      </vt:variant>
      <vt:variant>
        <vt:i4>1114160</vt:i4>
      </vt:variant>
      <vt:variant>
        <vt:i4>158</vt:i4>
      </vt:variant>
      <vt:variant>
        <vt:i4>0</vt:i4>
      </vt:variant>
      <vt:variant>
        <vt:i4>5</vt:i4>
      </vt:variant>
      <vt:variant>
        <vt:lpwstr/>
      </vt:variant>
      <vt:variant>
        <vt:lpwstr>_Toc437241768</vt:lpwstr>
      </vt:variant>
      <vt:variant>
        <vt:i4>1114160</vt:i4>
      </vt:variant>
      <vt:variant>
        <vt:i4>152</vt:i4>
      </vt:variant>
      <vt:variant>
        <vt:i4>0</vt:i4>
      </vt:variant>
      <vt:variant>
        <vt:i4>5</vt:i4>
      </vt:variant>
      <vt:variant>
        <vt:lpwstr/>
      </vt:variant>
      <vt:variant>
        <vt:lpwstr>_Toc437241767</vt:lpwstr>
      </vt:variant>
      <vt:variant>
        <vt:i4>1114160</vt:i4>
      </vt:variant>
      <vt:variant>
        <vt:i4>146</vt:i4>
      </vt:variant>
      <vt:variant>
        <vt:i4>0</vt:i4>
      </vt:variant>
      <vt:variant>
        <vt:i4>5</vt:i4>
      </vt:variant>
      <vt:variant>
        <vt:lpwstr/>
      </vt:variant>
      <vt:variant>
        <vt:lpwstr>_Toc437241766</vt:lpwstr>
      </vt:variant>
      <vt:variant>
        <vt:i4>1114160</vt:i4>
      </vt:variant>
      <vt:variant>
        <vt:i4>140</vt:i4>
      </vt:variant>
      <vt:variant>
        <vt:i4>0</vt:i4>
      </vt:variant>
      <vt:variant>
        <vt:i4>5</vt:i4>
      </vt:variant>
      <vt:variant>
        <vt:lpwstr/>
      </vt:variant>
      <vt:variant>
        <vt:lpwstr>_Toc437241765</vt:lpwstr>
      </vt:variant>
      <vt:variant>
        <vt:i4>1114160</vt:i4>
      </vt:variant>
      <vt:variant>
        <vt:i4>134</vt:i4>
      </vt:variant>
      <vt:variant>
        <vt:i4>0</vt:i4>
      </vt:variant>
      <vt:variant>
        <vt:i4>5</vt:i4>
      </vt:variant>
      <vt:variant>
        <vt:lpwstr/>
      </vt:variant>
      <vt:variant>
        <vt:lpwstr>_Toc437241764</vt:lpwstr>
      </vt:variant>
      <vt:variant>
        <vt:i4>1114160</vt:i4>
      </vt:variant>
      <vt:variant>
        <vt:i4>128</vt:i4>
      </vt:variant>
      <vt:variant>
        <vt:i4>0</vt:i4>
      </vt:variant>
      <vt:variant>
        <vt:i4>5</vt:i4>
      </vt:variant>
      <vt:variant>
        <vt:lpwstr/>
      </vt:variant>
      <vt:variant>
        <vt:lpwstr>_Toc437241763</vt:lpwstr>
      </vt:variant>
      <vt:variant>
        <vt:i4>1114160</vt:i4>
      </vt:variant>
      <vt:variant>
        <vt:i4>122</vt:i4>
      </vt:variant>
      <vt:variant>
        <vt:i4>0</vt:i4>
      </vt:variant>
      <vt:variant>
        <vt:i4>5</vt:i4>
      </vt:variant>
      <vt:variant>
        <vt:lpwstr/>
      </vt:variant>
      <vt:variant>
        <vt:lpwstr>_Toc437241762</vt:lpwstr>
      </vt:variant>
      <vt:variant>
        <vt:i4>1114160</vt:i4>
      </vt:variant>
      <vt:variant>
        <vt:i4>116</vt:i4>
      </vt:variant>
      <vt:variant>
        <vt:i4>0</vt:i4>
      </vt:variant>
      <vt:variant>
        <vt:i4>5</vt:i4>
      </vt:variant>
      <vt:variant>
        <vt:lpwstr/>
      </vt:variant>
      <vt:variant>
        <vt:lpwstr>_Toc437241761</vt:lpwstr>
      </vt:variant>
      <vt:variant>
        <vt:i4>1114160</vt:i4>
      </vt:variant>
      <vt:variant>
        <vt:i4>110</vt:i4>
      </vt:variant>
      <vt:variant>
        <vt:i4>0</vt:i4>
      </vt:variant>
      <vt:variant>
        <vt:i4>5</vt:i4>
      </vt:variant>
      <vt:variant>
        <vt:lpwstr/>
      </vt:variant>
      <vt:variant>
        <vt:lpwstr>_Toc437241760</vt:lpwstr>
      </vt:variant>
      <vt:variant>
        <vt:i4>1179696</vt:i4>
      </vt:variant>
      <vt:variant>
        <vt:i4>104</vt:i4>
      </vt:variant>
      <vt:variant>
        <vt:i4>0</vt:i4>
      </vt:variant>
      <vt:variant>
        <vt:i4>5</vt:i4>
      </vt:variant>
      <vt:variant>
        <vt:lpwstr/>
      </vt:variant>
      <vt:variant>
        <vt:lpwstr>_Toc437241759</vt:lpwstr>
      </vt:variant>
      <vt:variant>
        <vt:i4>1179696</vt:i4>
      </vt:variant>
      <vt:variant>
        <vt:i4>98</vt:i4>
      </vt:variant>
      <vt:variant>
        <vt:i4>0</vt:i4>
      </vt:variant>
      <vt:variant>
        <vt:i4>5</vt:i4>
      </vt:variant>
      <vt:variant>
        <vt:lpwstr/>
      </vt:variant>
      <vt:variant>
        <vt:lpwstr>_Toc437241758</vt:lpwstr>
      </vt:variant>
      <vt:variant>
        <vt:i4>1179696</vt:i4>
      </vt:variant>
      <vt:variant>
        <vt:i4>92</vt:i4>
      </vt:variant>
      <vt:variant>
        <vt:i4>0</vt:i4>
      </vt:variant>
      <vt:variant>
        <vt:i4>5</vt:i4>
      </vt:variant>
      <vt:variant>
        <vt:lpwstr/>
      </vt:variant>
      <vt:variant>
        <vt:lpwstr>_Toc437241757</vt:lpwstr>
      </vt:variant>
      <vt:variant>
        <vt:i4>1179696</vt:i4>
      </vt:variant>
      <vt:variant>
        <vt:i4>86</vt:i4>
      </vt:variant>
      <vt:variant>
        <vt:i4>0</vt:i4>
      </vt:variant>
      <vt:variant>
        <vt:i4>5</vt:i4>
      </vt:variant>
      <vt:variant>
        <vt:lpwstr/>
      </vt:variant>
      <vt:variant>
        <vt:lpwstr>_Toc437241756</vt:lpwstr>
      </vt:variant>
      <vt:variant>
        <vt:i4>1179696</vt:i4>
      </vt:variant>
      <vt:variant>
        <vt:i4>80</vt:i4>
      </vt:variant>
      <vt:variant>
        <vt:i4>0</vt:i4>
      </vt:variant>
      <vt:variant>
        <vt:i4>5</vt:i4>
      </vt:variant>
      <vt:variant>
        <vt:lpwstr/>
      </vt:variant>
      <vt:variant>
        <vt:lpwstr>_Toc437241755</vt:lpwstr>
      </vt:variant>
      <vt:variant>
        <vt:i4>1179696</vt:i4>
      </vt:variant>
      <vt:variant>
        <vt:i4>74</vt:i4>
      </vt:variant>
      <vt:variant>
        <vt:i4>0</vt:i4>
      </vt:variant>
      <vt:variant>
        <vt:i4>5</vt:i4>
      </vt:variant>
      <vt:variant>
        <vt:lpwstr/>
      </vt:variant>
      <vt:variant>
        <vt:lpwstr>_Toc437241754</vt:lpwstr>
      </vt:variant>
      <vt:variant>
        <vt:i4>1179696</vt:i4>
      </vt:variant>
      <vt:variant>
        <vt:i4>68</vt:i4>
      </vt:variant>
      <vt:variant>
        <vt:i4>0</vt:i4>
      </vt:variant>
      <vt:variant>
        <vt:i4>5</vt:i4>
      </vt:variant>
      <vt:variant>
        <vt:lpwstr/>
      </vt:variant>
      <vt:variant>
        <vt:lpwstr>_Toc437241753</vt:lpwstr>
      </vt:variant>
      <vt:variant>
        <vt:i4>1179696</vt:i4>
      </vt:variant>
      <vt:variant>
        <vt:i4>62</vt:i4>
      </vt:variant>
      <vt:variant>
        <vt:i4>0</vt:i4>
      </vt:variant>
      <vt:variant>
        <vt:i4>5</vt:i4>
      </vt:variant>
      <vt:variant>
        <vt:lpwstr/>
      </vt:variant>
      <vt:variant>
        <vt:lpwstr>_Toc437241752</vt:lpwstr>
      </vt:variant>
      <vt:variant>
        <vt:i4>1179696</vt:i4>
      </vt:variant>
      <vt:variant>
        <vt:i4>56</vt:i4>
      </vt:variant>
      <vt:variant>
        <vt:i4>0</vt:i4>
      </vt:variant>
      <vt:variant>
        <vt:i4>5</vt:i4>
      </vt:variant>
      <vt:variant>
        <vt:lpwstr/>
      </vt:variant>
      <vt:variant>
        <vt:lpwstr>_Toc437241751</vt:lpwstr>
      </vt:variant>
      <vt:variant>
        <vt:i4>1179696</vt:i4>
      </vt:variant>
      <vt:variant>
        <vt:i4>50</vt:i4>
      </vt:variant>
      <vt:variant>
        <vt:i4>0</vt:i4>
      </vt:variant>
      <vt:variant>
        <vt:i4>5</vt:i4>
      </vt:variant>
      <vt:variant>
        <vt:lpwstr/>
      </vt:variant>
      <vt:variant>
        <vt:lpwstr>_Toc437241750</vt:lpwstr>
      </vt:variant>
      <vt:variant>
        <vt:i4>1245232</vt:i4>
      </vt:variant>
      <vt:variant>
        <vt:i4>44</vt:i4>
      </vt:variant>
      <vt:variant>
        <vt:i4>0</vt:i4>
      </vt:variant>
      <vt:variant>
        <vt:i4>5</vt:i4>
      </vt:variant>
      <vt:variant>
        <vt:lpwstr/>
      </vt:variant>
      <vt:variant>
        <vt:lpwstr>_Toc437241749</vt:lpwstr>
      </vt:variant>
      <vt:variant>
        <vt:i4>1245232</vt:i4>
      </vt:variant>
      <vt:variant>
        <vt:i4>38</vt:i4>
      </vt:variant>
      <vt:variant>
        <vt:i4>0</vt:i4>
      </vt:variant>
      <vt:variant>
        <vt:i4>5</vt:i4>
      </vt:variant>
      <vt:variant>
        <vt:lpwstr/>
      </vt:variant>
      <vt:variant>
        <vt:lpwstr>_Toc437241748</vt:lpwstr>
      </vt:variant>
      <vt:variant>
        <vt:i4>1245232</vt:i4>
      </vt:variant>
      <vt:variant>
        <vt:i4>32</vt:i4>
      </vt:variant>
      <vt:variant>
        <vt:i4>0</vt:i4>
      </vt:variant>
      <vt:variant>
        <vt:i4>5</vt:i4>
      </vt:variant>
      <vt:variant>
        <vt:lpwstr/>
      </vt:variant>
      <vt:variant>
        <vt:lpwstr>_Toc437241747</vt:lpwstr>
      </vt:variant>
      <vt:variant>
        <vt:i4>1245232</vt:i4>
      </vt:variant>
      <vt:variant>
        <vt:i4>26</vt:i4>
      </vt:variant>
      <vt:variant>
        <vt:i4>0</vt:i4>
      </vt:variant>
      <vt:variant>
        <vt:i4>5</vt:i4>
      </vt:variant>
      <vt:variant>
        <vt:lpwstr/>
      </vt:variant>
      <vt:variant>
        <vt:lpwstr>_Toc437241746</vt:lpwstr>
      </vt:variant>
      <vt:variant>
        <vt:i4>1245232</vt:i4>
      </vt:variant>
      <vt:variant>
        <vt:i4>20</vt:i4>
      </vt:variant>
      <vt:variant>
        <vt:i4>0</vt:i4>
      </vt:variant>
      <vt:variant>
        <vt:i4>5</vt:i4>
      </vt:variant>
      <vt:variant>
        <vt:lpwstr/>
      </vt:variant>
      <vt:variant>
        <vt:lpwstr>_Toc437241745</vt:lpwstr>
      </vt:variant>
      <vt:variant>
        <vt:i4>1245232</vt:i4>
      </vt:variant>
      <vt:variant>
        <vt:i4>14</vt:i4>
      </vt:variant>
      <vt:variant>
        <vt:i4>0</vt:i4>
      </vt:variant>
      <vt:variant>
        <vt:i4>5</vt:i4>
      </vt:variant>
      <vt:variant>
        <vt:lpwstr/>
      </vt:variant>
      <vt:variant>
        <vt:lpwstr>_Toc437241744</vt:lpwstr>
      </vt:variant>
      <vt:variant>
        <vt:i4>1245232</vt:i4>
      </vt:variant>
      <vt:variant>
        <vt:i4>8</vt:i4>
      </vt:variant>
      <vt:variant>
        <vt:i4>0</vt:i4>
      </vt:variant>
      <vt:variant>
        <vt:i4>5</vt:i4>
      </vt:variant>
      <vt:variant>
        <vt:lpwstr/>
      </vt:variant>
      <vt:variant>
        <vt:lpwstr>_Toc437241743</vt:lpwstr>
      </vt:variant>
      <vt:variant>
        <vt:i4>1245232</vt:i4>
      </vt:variant>
      <vt:variant>
        <vt:i4>2</vt:i4>
      </vt:variant>
      <vt:variant>
        <vt:i4>0</vt:i4>
      </vt:variant>
      <vt:variant>
        <vt:i4>5</vt:i4>
      </vt:variant>
      <vt:variant>
        <vt:lpwstr/>
      </vt:variant>
      <vt:variant>
        <vt:lpwstr>_Toc437241742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EL DOCUMENTO DE ANÁLISIS (Desarrollo de Soluciones Informáticas)</dc:title>
  <dc:subject/>
  <dc:creator>optimus</dc:creator>
  <cp:keywords/>
  <dc:description/>
  <cp:lastModifiedBy>Eliseo Castiblanco</cp:lastModifiedBy>
  <cp:revision>4</cp:revision>
  <dcterms:created xsi:type="dcterms:W3CDTF">2015-12-07T18:27:00Z</dcterms:created>
  <dcterms:modified xsi:type="dcterms:W3CDTF">2015-12-07T18:31:00Z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0x0101009CC74A302DBF9346B1CE686174A312D1</vt:lpwstr>
  </property>
  <property fmtid="{D5CDD505-2E9C-101B-9397-08002B2CF9AE}" pid="3" name="Codigo">
    <vt:lpwstr>114 –GTI – GUI-02</vt:lpwstr>
  </property>
  <property fmtid="{D5CDD505-2E9C-101B-9397-08002B2CF9AE}" pid="4" name="Tipo Documento">
    <vt:lpwstr>Instructivos</vt:lpwstr>
  </property>
  <property fmtid="{D5CDD505-2E9C-101B-9397-08002B2CF9AE}" pid="5" name="Version0">
    <vt:lpwstr>v.01</vt:lpwstr>
  </property>
  <property fmtid="{D5CDD505-2E9C-101B-9397-08002B2CF9AE}" pid="6" name="PublishingExpirationDate">
    <vt:lpwstr/>
  </property>
  <property fmtid="{D5CDD505-2E9C-101B-9397-08002B2CF9AE}" pid="7" name="PublishingStartDate">
    <vt:lpwstr/>
  </property>
  <property fmtid="{D5CDD505-2E9C-101B-9397-08002B2CF9AE}" pid="8" name="Modificaciones">
    <vt:lpwstr/>
  </property>
  <property fmtid="{D5CDD505-2E9C-101B-9397-08002B2CF9AE}" pid="9" name="Descripción">
    <vt:lpwstr>GUÍA PARA EL DOCUMENTO DE ANÁLISIS (Desarrollo de Soluciones Informáticas)</vt:lpwstr>
  </property>
</Properties>
</file>